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F638" w14:textId="77777777" w:rsidR="00E0785A" w:rsidRPr="00E0785A" w:rsidRDefault="00E0785A" w:rsidP="008335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REPUBBLICA ITALIANA</w:t>
      </w:r>
    </w:p>
    <w:p w14:paraId="1744966B" w14:textId="77777777" w:rsidR="00E0785A" w:rsidRPr="00E0785A" w:rsidRDefault="00E0785A" w:rsidP="008335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IN NOME DEL POPOLO ITALIANO</w:t>
      </w:r>
    </w:p>
    <w:p w14:paraId="3D4B3E2B" w14:textId="77777777" w:rsidR="00E0785A" w:rsidRPr="00E0785A" w:rsidRDefault="00E0785A" w:rsidP="008335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LA CORTE SUPREMA DI CASSAZIONE</w:t>
      </w:r>
    </w:p>
    <w:p w14:paraId="0A9CD369" w14:textId="77777777" w:rsidR="00E0785A" w:rsidRPr="00E0785A" w:rsidRDefault="00E0785A" w:rsidP="008335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SEZIONE TERZA CIVILE</w:t>
      </w:r>
    </w:p>
    <w:p w14:paraId="3D672A2D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 xml:space="preserve">Composta dagli Ill.mi </w:t>
      </w:r>
      <w:proofErr w:type="spellStart"/>
      <w:r w:rsidRPr="00E0785A">
        <w:rPr>
          <w:rFonts w:ascii="Times New Roman" w:hAnsi="Times New Roman" w:cs="Times New Roman"/>
        </w:rPr>
        <w:t>Sigg.ri</w:t>
      </w:r>
      <w:proofErr w:type="spellEnd"/>
      <w:r w:rsidRPr="00E0785A">
        <w:rPr>
          <w:rFonts w:ascii="Times New Roman" w:hAnsi="Times New Roman" w:cs="Times New Roman"/>
        </w:rPr>
        <w:t xml:space="preserve"> Magistrati</w:t>
      </w:r>
    </w:p>
    <w:p w14:paraId="39C9E1AE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Dott. VINCENTI Enzo - Presidente</w:t>
      </w:r>
    </w:p>
    <w:p w14:paraId="10E3A82E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Dott. IANNELLO Emilio - Consigliere</w:t>
      </w:r>
    </w:p>
    <w:p w14:paraId="08B7A9A2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Dott. VALLE Cristiano - Consigliere</w:t>
      </w:r>
    </w:p>
    <w:p w14:paraId="08F352D1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Dott. PORRECA Paolo - Consigliere</w:t>
      </w:r>
    </w:p>
    <w:p w14:paraId="79BCE0C8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Dott. SPAZIANI Paolo - Consigliere Rel.</w:t>
      </w:r>
    </w:p>
    <w:p w14:paraId="5E085616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ha pronunciato la seguente</w:t>
      </w:r>
    </w:p>
    <w:p w14:paraId="00DB6688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  <w:b/>
          <w:bCs/>
        </w:rPr>
        <w:t>ORDINANZA</w:t>
      </w:r>
    </w:p>
    <w:p w14:paraId="7BF92F64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sul ricorso iscritto al n. 25159/2023 R.G.,</w:t>
      </w:r>
    </w:p>
    <w:p w14:paraId="219C142E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proposto da</w:t>
      </w:r>
    </w:p>
    <w:p w14:paraId="28915308" w14:textId="1C46FE45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A.A. B.B. in proprio e nella qualità di genitori esercenti la responsabilità genitoriale sul figlio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minore, C.C. rappresentati e difesi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, in virtù di procura allegata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busta telematica e da reputarsi in calce al ricorso; con domiciliazione digitale ex lege;</w:t>
      </w:r>
    </w:p>
    <w:p w14:paraId="6A2B2CC6" w14:textId="77777777" w:rsidR="00E0785A" w:rsidRPr="00E0785A" w:rsidRDefault="00E0785A" w:rsidP="008335EB">
      <w:pPr>
        <w:spacing w:after="0"/>
        <w:jc w:val="right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ricorrente</w:t>
      </w:r>
    </w:p>
    <w:p w14:paraId="065D2952" w14:textId="104BB1F5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nei confronti di</w:t>
      </w:r>
      <w:r w:rsid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</w:t>
      </w:r>
      <w:r w:rsidR="008335EB" w:rsidRPr="008335EB">
        <w:rPr>
          <w:rFonts w:ascii="Times New Roman" w:hAnsi="Times New Roman" w:cs="Times New Roman"/>
        </w:rPr>
        <w:t>SL</w:t>
      </w:r>
      <w:r w:rsidRPr="00E0785A">
        <w:rPr>
          <w:rFonts w:ascii="Times New Roman" w:hAnsi="Times New Roman" w:cs="Times New Roman"/>
        </w:rPr>
        <w:t xml:space="preserve">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 xml:space="preserve"> rappresentata e difesa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; con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domiciliazione digitale ex lege;</w:t>
      </w:r>
    </w:p>
    <w:p w14:paraId="03C7778A" w14:textId="77777777" w:rsidR="00E0785A" w:rsidRPr="00E0785A" w:rsidRDefault="00E0785A" w:rsidP="008335EB">
      <w:pPr>
        <w:spacing w:after="0"/>
        <w:jc w:val="right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ricorrente</w:t>
      </w:r>
    </w:p>
    <w:p w14:paraId="6B86FC58" w14:textId="41D3DE4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 xml:space="preserve">per la cassazione della sentenza </w:t>
      </w:r>
      <w:r w:rsidR="008335EB" w:rsidRPr="008335EB">
        <w:rPr>
          <w:rFonts w:ascii="Times New Roman" w:hAnsi="Times New Roman" w:cs="Times New Roman"/>
        </w:rPr>
        <w:t>...</w:t>
      </w:r>
    </w:p>
    <w:p w14:paraId="6F3A7BAD" w14:textId="7E85F77C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0785A">
        <w:rPr>
          <w:rFonts w:ascii="Times New Roman" w:hAnsi="Times New Roman" w:cs="Times New Roman"/>
        </w:rPr>
        <w:t>udìta</w:t>
      </w:r>
      <w:proofErr w:type="spellEnd"/>
      <w:r w:rsidRPr="00E0785A">
        <w:rPr>
          <w:rFonts w:ascii="Times New Roman" w:hAnsi="Times New Roman" w:cs="Times New Roman"/>
        </w:rPr>
        <w:t xml:space="preserve"> la relazione svolta nella camera di consiglio del 4 novembre 2025 dal Cons</w:t>
      </w:r>
      <w:r w:rsidR="007C2E7F">
        <w:rPr>
          <w:rFonts w:ascii="Times New Roman" w:hAnsi="Times New Roman" w:cs="Times New Roman"/>
        </w:rPr>
        <w:t>.</w:t>
      </w:r>
      <w:r w:rsidRPr="00E0785A">
        <w:rPr>
          <w:rFonts w:ascii="Times New Roman" w:hAnsi="Times New Roman" w:cs="Times New Roman"/>
        </w:rPr>
        <w:t xml:space="preserve"> Paolo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Spaziani.</w:t>
      </w:r>
    </w:p>
    <w:p w14:paraId="31A7A052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Svolgimento del processo</w:t>
      </w:r>
    </w:p>
    <w:p w14:paraId="00A97486" w14:textId="0EAEED3B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 xml:space="preserve">1. Il Tribunale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, condannò la ASL a pagare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ad B.B. la somma di Euro 78.712,00 e a A.A. la somma di Euro 20.000,00, oltre interessi, a titolo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risarcimento del danno subìto in seguito al rapimento del loro figlio, C.C. verificatosi nel reparto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Ostetricia e Ginecologia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Ospedale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 xml:space="preserve"> in data 7 giugno 2010, poche ore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dopo la nascita, sul presupposto che tale evento dannoso (nonché le conseguenze pregiudizievoli non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patrimoniali determinate dalla sindrome depressiva che aveva colpito la sig.ra B.B. accertate a mezzo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CTU) fossero imputabili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inadempimento, da parte della struttura sanitaria,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protezione e vigilanza derivante dal contratto di assistenza ospedaliera.</w:t>
      </w:r>
    </w:p>
    <w:p w14:paraId="21A9BCB9" w14:textId="1233EC32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2. La Corte 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Appello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, in accoglimento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impugnazione proposta dall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Azienda Sanitaria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Locale, ha rigettato la domanda risarcitoria, condannando gli appellati, originari attori, al pagamento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delle spese di entrambi i gradi.</w:t>
      </w:r>
    </w:p>
    <w:p w14:paraId="07B9CC9E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La Corte territoriale, per quanto ancora interessa, ha deciso sulla base dei seguenti rilievi:</w:t>
      </w:r>
    </w:p>
    <w:p w14:paraId="681B93AE" w14:textId="6873326C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I- in punto di fatto, avuto riguardo agli accertamenti operati nel procedimento penale celebrato 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carico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autrice del rapimento del neonato, nonché alle deduzioni non contestate delle parti,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dovevano ritenersi accertate le seguenti circostanze: a) che il 7 giugno 2010, B.B. ricoverata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Ospedale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 xml:space="preserve">, aveva dato alla luce il figlio </w:t>
      </w:r>
      <w:r w:rsidR="00760551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, il quale le era stato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affidato in regime di </w:t>
      </w:r>
      <w:proofErr w:type="spellStart"/>
      <w:r w:rsidRPr="00E0785A">
        <w:rPr>
          <w:rFonts w:ascii="Times New Roman" w:hAnsi="Times New Roman" w:cs="Times New Roman"/>
          <w:i/>
          <w:iCs/>
        </w:rPr>
        <w:t>roomingin</w:t>
      </w:r>
      <w:proofErr w:type="spellEnd"/>
      <w:r w:rsidRPr="00E0785A">
        <w:rPr>
          <w:rFonts w:ascii="Times New Roman" w:hAnsi="Times New Roman" w:cs="Times New Roman"/>
        </w:rPr>
        <w:t>; b) che, dopo poche ore dalla nascita, durante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orario di apertura al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pubblico, una donna sconosciuta, indossando un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uniforme da infermiera, era entrata nel reparto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ginecologia e ostetricia ed aveva raggiunto la stanza di degenza della sig.ra B.B. ove si trovava, per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assisterla, anche la sorella di quest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ultima; c) che la sconosciuta, prelevandolo dalla culletta posta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interno della stanza, aveva detto alla madre e alla zia che il neonato doveva essere sottoposto 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visita pediatrica e si era allontanata con il bambino tra le braccia, avvolto in un lenzuolo; d) infine, che,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a seguito delle indagini </w:t>
      </w:r>
      <w:r w:rsidRPr="00E0785A">
        <w:rPr>
          <w:rFonts w:ascii="Times New Roman" w:hAnsi="Times New Roman" w:cs="Times New Roman"/>
        </w:rPr>
        <w:lastRenderedPageBreak/>
        <w:t>immediatamente attivate, il neonato era stato rinvenuto da personale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polizia giudiziaria presso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abitazione della rapitrice, la quale, per la condotta appena riferita, era stata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sottoposta a procedimento penale ed era stata successivamente condannata con sentenza passata in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giudicato;</w:t>
      </w:r>
    </w:p>
    <w:p w14:paraId="4521E54D" w14:textId="7B4E8AA3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II- tanto premesso in fatto, doveva escludersi, in diritto, sia la sussistenza del dedotto inadempimento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della struttura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sanitaria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 protezione, custodia, vigilanza e controllo assunta mediante il contratto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di spedalità, sia, in ogni caso, la sussistenza del nesso causale tra la violazione di tale obbligo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(quand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anche reputata sussistente) 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evento dannoso; sotto il primo profilo, doveva tenersi conto che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intensità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 protezione e vigilanza, accessoria a quella principale di cura, in quanto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funzionale ad evitare il rischio che il degente possa causare danni o patirne, deve essere valutata in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relazione alle circostanze del caso concreto, sicché, nella fattispecie, essendo pacifico che il bambino,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immediatamente dopo la nascita, era stato affidato in regime di </w:t>
      </w:r>
      <w:proofErr w:type="spellStart"/>
      <w:r w:rsidRPr="00E0785A">
        <w:rPr>
          <w:rFonts w:ascii="Times New Roman" w:hAnsi="Times New Roman" w:cs="Times New Roman"/>
        </w:rPr>
        <w:t>rooming</w:t>
      </w:r>
      <w:proofErr w:type="spellEnd"/>
      <w:r w:rsidRPr="00E0785A">
        <w:rPr>
          <w:rFonts w:ascii="Times New Roman" w:hAnsi="Times New Roman" w:cs="Times New Roman"/>
        </w:rPr>
        <w:t xml:space="preserve"> in direttamente alla madre,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ricoverata nel reparto di ginecologia e ostetricia, doveva escludersi la sussistenza di un particolare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obbligo di sorveglianza da parte della struttura, anche avuto riguardo alla circostanza che la madre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neonato, persona trentacinquenne perfettamente </w:t>
      </w:r>
      <w:r w:rsidRPr="00E0785A">
        <w:rPr>
          <w:rFonts w:ascii="Times New Roman" w:hAnsi="Times New Roman" w:cs="Times New Roman"/>
          <w:i/>
          <w:iCs/>
        </w:rPr>
        <w:t>compos sui</w:t>
      </w:r>
      <w:r w:rsidRPr="00E0785A">
        <w:rPr>
          <w:rFonts w:ascii="Times New Roman" w:hAnsi="Times New Roman" w:cs="Times New Roman"/>
        </w:rPr>
        <w:t>, poteva contare in quelle ore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sull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assistenza </w:t>
      </w:r>
      <w:r w:rsidR="008335EB" w:rsidRPr="008335EB">
        <w:rPr>
          <w:rFonts w:ascii="Times New Roman" w:hAnsi="Times New Roman" w:cs="Times New Roman"/>
        </w:rPr>
        <w:t>della propria</w:t>
      </w:r>
      <w:r w:rsidRPr="00E0785A">
        <w:rPr>
          <w:rFonts w:ascii="Times New Roman" w:hAnsi="Times New Roman" w:cs="Times New Roman"/>
        </w:rPr>
        <w:t xml:space="preserve"> sorella, che si trovava con lei nella stanza di degenza; pertanto, la struttura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sanitaria era bensì tenuta ad una prestazione di cura e assistenza postpartum della paziente e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neonato, ma non anche ad una prestazione di custodia assimilabile a quella invece esigibile nella</w:t>
      </w:r>
      <w:r w:rsidR="00A27D0A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diversa ipotesi in cui il bambino, senza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assistenza di un genitore, fosse stato custodito nel "nido"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ospedale; 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altra parte, nella fattispecie, neppure poteva individuarsi un contegno omissivo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inadempiente nella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circostanza che la struttura ospedaliera, a mezzo del proprio personale, non aveva proceduto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identificazione delle persone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ingresso del nosocomio e al controllo della circolazione nei reparti,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atteso che nessuna prescrizione in tal senso è prevista per gli ospedali pubblici e aperti al pubblico,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nei quali, salvo casi eccezionali, non integrantisi nella fattispecie, durante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orario di visita resta libero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sia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accesso alla struttura sanitaria che ai suoi diversi reparti;</w:t>
      </w:r>
    </w:p>
    <w:p w14:paraId="10DA81A6" w14:textId="1B5FEC06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III- quand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anche, poi, fosse stata riscontrabile una condotta omissiva inadempiente della struttura</w:t>
      </w:r>
      <w:r w:rsidR="008335EB" w:rsidRPr="008335EB">
        <w:rPr>
          <w:rFonts w:ascii="Times New Roman" w:hAnsi="Times New Roman" w:cs="Times New Roman"/>
        </w:rPr>
        <w:t xml:space="preserve"> s</w:t>
      </w:r>
      <w:r w:rsidRPr="00E0785A">
        <w:rPr>
          <w:rFonts w:ascii="Times New Roman" w:hAnsi="Times New Roman" w:cs="Times New Roman"/>
        </w:rPr>
        <w:t>anitaria, sarebbe mancata la sussistenza del nesso causale tra tale condotta 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evento dannoso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verificatosi, dovendo escludersi, in applicazione del criterio di "regolarità causale", che la sottrazione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 neonato rientrasse nel novero delle conseguenze "normali" della violazione degli obblighi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contrattuali accessori di sorveglianza dei pazienti, comunque funzionali alla sfera assistenziale e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cura degli stessi.</w:t>
      </w:r>
    </w:p>
    <w:p w14:paraId="3955C7B5" w14:textId="56D4A5A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 xml:space="preserve">3. Per la cassazione della sentenza della Corte </w:t>
      </w:r>
      <w:r w:rsidR="008335EB" w:rsidRPr="008335EB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 xml:space="preserve"> ricorrono A.A. e B.B. in proprio e nella qualità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di genitori esercenti la responsabilità genitoriale sul figlio minore, C.C. sulla base di due motivi.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Risponde con controricorso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Azienda Sanitaria Locale </w:t>
      </w:r>
      <w:r w:rsidR="008335EB" w:rsidRPr="008335EB">
        <w:rPr>
          <w:rFonts w:ascii="Times New Roman" w:hAnsi="Times New Roman" w:cs="Times New Roman"/>
        </w:rPr>
        <w:t>..</w:t>
      </w:r>
      <w:r w:rsidRPr="00E0785A">
        <w:rPr>
          <w:rFonts w:ascii="Times New Roman" w:hAnsi="Times New Roman" w:cs="Times New Roman"/>
        </w:rPr>
        <w:t>.</w:t>
      </w:r>
    </w:p>
    <w:p w14:paraId="359BF2A8" w14:textId="486FC515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La trattazione del ricorso è stata fissata in camera di consiglio, ai sensi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art.380-</w:t>
      </w:r>
      <w:r w:rsidR="00A27D0A">
        <w:rPr>
          <w:rFonts w:ascii="Times New Roman" w:hAnsi="Times New Roman" w:cs="Times New Roman"/>
        </w:rPr>
        <w:t>bis</w:t>
      </w:r>
      <w:r w:rsidRPr="00E0785A">
        <w:rPr>
          <w:rFonts w:ascii="Times New Roman" w:hAnsi="Times New Roman" w:cs="Times New Roman"/>
        </w:rPr>
        <w:t>.1 cod. proc. civ..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Il Pubblico Ministero presso la Corte non ha presentato conclusioni scritte.</w:t>
      </w:r>
    </w:p>
    <w:p w14:paraId="3AB8D825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Non sono state depositate memorie dalle parti.</w:t>
      </w:r>
    </w:p>
    <w:p w14:paraId="6048D75C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Motivi della decisione</w:t>
      </w:r>
    </w:p>
    <w:p w14:paraId="62450DFC" w14:textId="48EE100A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1. Con il primo motivo viene denunciata, ai sensi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 360 n. 3 cod. proc. civ., "violazione e falsa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applicazione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 1218 c.c., art. 1175 c.c., art. 1375 c.c. 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 7 legge 8 marzo 2017 n. 24 in virtù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contratto di spedalità sorto tra le parti del processo".</w:t>
      </w:r>
    </w:p>
    <w:p w14:paraId="21BBD814" w14:textId="510CCBA1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I ricorrenti rammentano che, secondo la giurisprudenza di legittimità, dal contratto atipico di spedalità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derivano obbligazioni ulteriori, oltre quella principale di cura e assistenza sanitaria, tra le quali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 custodia del ricoverato, avuto riguardo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età, invalidità o malattia dello stesso.</w:t>
      </w:r>
    </w:p>
    <w:p w14:paraId="58E8431A" w14:textId="47C8947E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lastRenderedPageBreak/>
        <w:t>In relazione alla specifica fattispecie, sostengono, in particolare, richiamando uno specifico precedente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di questa Corte (Cass. n. 6707 del 1987) che nel contenuto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della struttura sanitaria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rientrasse specificamente la protezione del neonato e che la responsabilità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ente per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inadempimento di questa obbligazione non sarebbe eliminata dalla mancanza di regolamentazione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interna di quell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attività dovuta né, più particolarmente, dalla mancanza di specifiche disposizioni che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imponessero la vigilanza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interno del reparto.</w:t>
      </w:r>
    </w:p>
    <w:p w14:paraId="04376C7C" w14:textId="27261ACB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Soggiungono che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azienda sanitaria avrebbe violato anche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affidamento della paziente ricoverata, 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quale non poteva immaginare che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interno del reparto circolasse "un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infermiera non dipendente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della struttura di ricovero", la quale prelevasse il neonato "con le abituali prassi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 senza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che medici, infermieri,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operatori di sicurezza ed ulteriori dipendenti del reparto" si accorgessero "di non averla mai vista 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conosciuta come loro collega".</w:t>
      </w:r>
    </w:p>
    <w:p w14:paraId="50732650" w14:textId="0B67BF05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Con specifico riferimento alla ritenuta insussistenza del nesso causale tra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(asserita) condotta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inadempiente della struttura sanitaria e il danno subìto dai genitori del neonato, i ricorrenti invocano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infine il riconoscimento della posizione di garanzia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ente e sostengono che "la condotta attiva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controllo e di vigilanza nei rapporti e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accesso e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uscita dalle zone riservate al personale, che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nel caso di specie è assolutamente mancata, avrebbe impedito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evento rapimento".</w:t>
      </w:r>
    </w:p>
    <w:p w14:paraId="6C919F0E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1.1. Il motivo è infondato.</w:t>
      </w:r>
    </w:p>
    <w:p w14:paraId="597DAA41" w14:textId="17F59F66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0785A">
        <w:rPr>
          <w:rFonts w:ascii="Times New Roman" w:hAnsi="Times New Roman" w:cs="Times New Roman"/>
        </w:rPr>
        <w:t>l.l.a</w:t>
      </w:r>
      <w:proofErr w:type="spellEnd"/>
      <w:r w:rsidRPr="00E0785A">
        <w:rPr>
          <w:rFonts w:ascii="Times New Roman" w:hAnsi="Times New Roman" w:cs="Times New Roman"/>
        </w:rPr>
        <w:t>. Questa Corte ha reiteratamente affermato, sin da epoca ormai risalente, che dal contratto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stipulato tra il paziente e la struttura sanitaria che ne accetta il ricovero derivano naturalmente, 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carico della seconda, ai sensi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 1374 cod. civ., oltre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principale di apprestare al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primo le cure richieste dalla sua condizione (che la struttura adempie mediante il personale sanitario,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rispondendone e x art. 1228 cod. civ.) - e oltre alle obbligazioni accessorie di carattere </w:t>
      </w:r>
      <w:r w:rsidRPr="00E0785A">
        <w:rPr>
          <w:rFonts w:ascii="Times New Roman" w:hAnsi="Times New Roman" w:cs="Times New Roman"/>
          <w:i/>
          <w:iCs/>
        </w:rPr>
        <w:t xml:space="preserve">lato </w:t>
      </w:r>
      <w:proofErr w:type="spellStart"/>
      <w:r w:rsidRPr="00E0785A">
        <w:rPr>
          <w:rFonts w:ascii="Times New Roman" w:hAnsi="Times New Roman" w:cs="Times New Roman"/>
          <w:i/>
          <w:iCs/>
        </w:rPr>
        <w:t>sensu</w:t>
      </w:r>
      <w:proofErr w:type="spellEnd"/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organizzativo-alberghiero (che la struttura adempie direttamente, rispondendone ex art.1218 cod. civ.) -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, anche la specifica obbligazione di assicurare la protezione, mediante sorveglianza, delle persone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menomata o mancante autotutela, per le quali detta protezione costituisce parte essenziale della cura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(Cass. n.6707 del 1987; Cass. n. 11038 del 1997; Cass. 12995 del 2005; Cass. n.22818 del 2010;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Cass. 10832 del 2014; Cass. n.22331 del 2014; Cass. n. 25288 del 2020; Cass. n. 13037 del 2023).</w:t>
      </w:r>
    </w:p>
    <w:p w14:paraId="7D4AC022" w14:textId="66071283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Peraltro,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estensione e il contenuto della prestazione che forma oggetto di questa specifica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obbligazione non sono sempre gli stessi ma variano in relazione alle circostanze del caso concreto,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avuto riguardo allo specifico interesse creditorio cui essa è funzionalmente correlata (arg. </w:t>
      </w:r>
      <w:r w:rsidRPr="00E0785A">
        <w:rPr>
          <w:rFonts w:ascii="Times New Roman" w:hAnsi="Times New Roman" w:cs="Times New Roman"/>
          <w:i/>
          <w:iCs/>
        </w:rPr>
        <w:t>ex</w:t>
      </w:r>
      <w:r w:rsidRPr="00E0785A">
        <w:rPr>
          <w:rFonts w:ascii="Times New Roman" w:hAnsi="Times New Roman" w:cs="Times New Roman"/>
        </w:rPr>
        <w:t xml:space="preserve"> art.1174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cod. civ.).</w:t>
      </w:r>
    </w:p>
    <w:p w14:paraId="56EB7E0C" w14:textId="7AA19D6A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in parola trova infatti il suo fine (di protezione)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esigenza di prevenire il rischio che il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paziente possa causare danni a terzi o subirne; di conseguenza la prestazione (di sorveglianza) non è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predeterminata in astratto nella sua intensità e nella sua estensione ma deve essere espletata, in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esecuzione di ogni singolo contratto di ricovero, in modo adeguato e coerente rispetto alle specifiche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condizioni psico-fisiche del paziente (cfr., in particolare, Cass. </w:t>
      </w:r>
      <w:proofErr w:type="spellStart"/>
      <w:r w:rsidRPr="00E0785A">
        <w:rPr>
          <w:rFonts w:ascii="Times New Roman" w:hAnsi="Times New Roman" w:cs="Times New Roman"/>
        </w:rPr>
        <w:t>nn</w:t>
      </w:r>
      <w:proofErr w:type="spellEnd"/>
      <w:r w:rsidRPr="00E0785A">
        <w:rPr>
          <w:rFonts w:ascii="Times New Roman" w:hAnsi="Times New Roman" w:cs="Times New Roman"/>
        </w:rPr>
        <w:t xml:space="preserve">. 25288 del 2020 e 13037 del 2023, </w:t>
      </w:r>
      <w:proofErr w:type="spellStart"/>
      <w:r w:rsidRPr="00E0785A">
        <w:rPr>
          <w:rFonts w:ascii="Times New Roman" w:hAnsi="Times New Roman" w:cs="Times New Roman"/>
        </w:rPr>
        <w:t>citt</w:t>
      </w:r>
      <w:proofErr w:type="spellEnd"/>
      <w:r w:rsidRPr="00E0785A">
        <w:rPr>
          <w:rFonts w:ascii="Times New Roman" w:hAnsi="Times New Roman" w:cs="Times New Roman"/>
        </w:rPr>
        <w:t>.)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e alla condizione oggettiva in cui egli si trovi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ambito della struttura sanitaria.</w:t>
      </w:r>
    </w:p>
    <w:p w14:paraId="3E9890C7" w14:textId="15DCB5CC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 vigilanza, dunque, è tanto più stringente, quanto maggiore è il rischio che il degente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possa causare danni o patirne.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In funzione della valutazione di questo rischio, rileva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età,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incapacità di intendere e di volere e 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malattia fisica o psichica del paziente.</w:t>
      </w:r>
      <w:r w:rsidR="008335EB" w:rsidRPr="008335EB">
        <w:rPr>
          <w:rFonts w:ascii="Times New Roman" w:hAnsi="Times New Roman" w:cs="Times New Roman"/>
        </w:rPr>
        <w:t xml:space="preserve"> </w:t>
      </w:r>
      <w:r w:rsidR="00A35D29">
        <w:rPr>
          <w:rFonts w:ascii="Times New Roman" w:hAnsi="Times New Roman" w:cs="Times New Roman"/>
        </w:rPr>
        <w:t>T</w:t>
      </w:r>
      <w:r w:rsidRPr="00E0785A">
        <w:rPr>
          <w:rFonts w:ascii="Times New Roman" w:hAnsi="Times New Roman" w:cs="Times New Roman"/>
        </w:rPr>
        <w:t>uttavia, ognuna di queste condizioni costituisce solo un indice di valutazione del rischio che il degente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causi o subisca danni, ma nessuna di esse integra una condizione necessaria in funzione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insorgenza 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estensione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obbligo di sorveglianza, atteso che la prima si determina </w:t>
      </w:r>
      <w:r w:rsidRPr="00E0785A">
        <w:rPr>
          <w:rFonts w:ascii="Times New Roman" w:hAnsi="Times New Roman" w:cs="Times New Roman"/>
          <w:i/>
          <w:iCs/>
        </w:rPr>
        <w:t>ipso facto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accettazione del paziente </w:t>
      </w:r>
      <w:r w:rsidRPr="00E0785A">
        <w:rPr>
          <w:rFonts w:ascii="Times New Roman" w:hAnsi="Times New Roman" w:cs="Times New Roman"/>
        </w:rPr>
        <w:lastRenderedPageBreak/>
        <w:t>(cfr. Cass. Cass. n.22331 del 2014, cit.), mentre la seconda va apprezzata in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relazione ad ogni singolo caso concreto, sicché essa può assumere 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massima intensità (richiedendo una sorveglianza costante per evitare che il paziente faccia del male 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sé stesso o ad altri) anche quando si tratti di persona perfettamente capace di intendere e di volere (ad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es., perché, rispettivamente, non autosufficiente per malattia fisica o pericoloso per malattia mentale: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cfr., al riguardo, </w:t>
      </w:r>
      <w:r w:rsidRPr="00E0785A">
        <w:rPr>
          <w:rFonts w:ascii="Times New Roman" w:hAnsi="Times New Roman" w:cs="Times New Roman"/>
          <w:i/>
          <w:iCs/>
        </w:rPr>
        <w:t>ex professo</w:t>
      </w:r>
      <w:r w:rsidRPr="00E0785A">
        <w:rPr>
          <w:rFonts w:ascii="Times New Roman" w:hAnsi="Times New Roman" w:cs="Times New Roman"/>
        </w:rPr>
        <w:t>, Cass. n.</w:t>
      </w:r>
      <w:r w:rsidR="00A35D29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22331 del 2014, cit.).</w:t>
      </w:r>
    </w:p>
    <w:p w14:paraId="6FFC654A" w14:textId="05359C90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 xml:space="preserve">1.1.b. Avuto riguardo alla </w:t>
      </w:r>
      <w:proofErr w:type="spellStart"/>
      <w:r w:rsidRPr="00E0785A">
        <w:rPr>
          <w:rFonts w:ascii="Times New Roman" w:hAnsi="Times New Roman" w:cs="Times New Roman"/>
          <w:i/>
          <w:iCs/>
        </w:rPr>
        <w:t>regula</w:t>
      </w:r>
      <w:proofErr w:type="spellEnd"/>
      <w:r w:rsidRPr="00E0785A">
        <w:rPr>
          <w:rFonts w:ascii="Times New Roman" w:hAnsi="Times New Roman" w:cs="Times New Roman"/>
          <w:i/>
          <w:iCs/>
        </w:rPr>
        <w:t xml:space="preserve"> iuris</w:t>
      </w:r>
      <w:r w:rsidRPr="00E0785A">
        <w:rPr>
          <w:rFonts w:ascii="Times New Roman" w:hAnsi="Times New Roman" w:cs="Times New Roman"/>
        </w:rPr>
        <w:t xml:space="preserve"> che impone di valutare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estensione e il contenuto</w:t>
      </w:r>
      <w:r w:rsidR="008335EB" w:rsidRPr="008335EB">
        <w:rPr>
          <w:rFonts w:ascii="Times New Roman" w:hAnsi="Times New Roman" w:cs="Times New Roman"/>
        </w:rPr>
        <w:t xml:space="preserve">  </w:t>
      </w:r>
      <w:r w:rsidRPr="00E0785A">
        <w:rPr>
          <w:rFonts w:ascii="Times New Roman" w:hAnsi="Times New Roman" w:cs="Times New Roman"/>
        </w:rPr>
        <w:t>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 vigilanza gravante sulla struttura sanitaria in relazione alle circostanze del caso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concreto, affinché essa sia assolta in modo adeguato e coerente rispetto alle condizioni subiettive 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oggettive del paziente e in funzione della prevenzione del rischio che egli possa causare danni a terzi 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subirne, non è censurabile la prima </w:t>
      </w:r>
      <w:r w:rsidRPr="00E0785A">
        <w:rPr>
          <w:rFonts w:ascii="Times New Roman" w:hAnsi="Times New Roman" w:cs="Times New Roman"/>
          <w:i/>
          <w:iCs/>
        </w:rPr>
        <w:t xml:space="preserve">ratio </w:t>
      </w:r>
      <w:proofErr w:type="spellStart"/>
      <w:r w:rsidRPr="00E0785A">
        <w:rPr>
          <w:rFonts w:ascii="Times New Roman" w:hAnsi="Times New Roman" w:cs="Times New Roman"/>
          <w:i/>
          <w:iCs/>
        </w:rPr>
        <w:t>decidendi</w:t>
      </w:r>
      <w:proofErr w:type="spellEnd"/>
      <w:r w:rsidRPr="00E0785A">
        <w:rPr>
          <w:rFonts w:ascii="Times New Roman" w:hAnsi="Times New Roman" w:cs="Times New Roman"/>
        </w:rPr>
        <w:t xml:space="preserve"> della statuizione impugnata la quale,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contrariamente a quanto dedotto dai ricorrenti,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escludere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inadempimento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ente ospedaliero,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non ha erroneamente disapplicato il principio di diritto affermato dal precedente di questa Corte n.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6707 del 1987, ma ha motivatamente tenuto conto della peculiarità della fattispecie considerata da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quella pronuncia, solo apparentemente sovrapponibile a quella oggetto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attuale esame.</w:t>
      </w:r>
    </w:p>
    <w:p w14:paraId="5020466B" w14:textId="354CDA52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Nel richiamato precedente, infatti, il giudizio di responsabilità della struttura sanitaria, per i danni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derivati dal rapimento di un neonato in essa ricoverato, trovava trovato fondamento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accertamento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omessa vigilanza del "nido" in cui egli era custodito senza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assistenza di un genitore né di altri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soggetti diversi dal personale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ospedale: in quel caso, le circostanze subiettive ed oggettive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paziente (neonato affidato unicamente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assistenza dei sanitari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struttura) imponevano di attribuire la massima intensità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obbligo di vigilanza che, ovviamente, ove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doverosamente esercitata in modo costante, avrebbe consentito di impedire, secondo un giudizio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probabilità,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evento dannoso invece verificatosi; in particolare il giudice del merito aveva accertato che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il bambino, dopo la nascita, non era stato posto nella stessa stanza della madre, bensì nel cosiddetto</w:t>
      </w:r>
      <w:r w:rsidR="00A35D29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"nido", un ambiente cioè riservato ai neonati, e che la porta di accesso a questo ambiente era priva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serratura e di facile rotazione, dal personale, non dall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interno, bensì dall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esterno, attraverso la vetrata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di osservazione; inoltre la porta del "nido" non rimaneva chiusa - proprio perché priva di serratura -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anche nelle ore di apertura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accesso del pubblico per la visita ai ricoverati da parte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parenti e amici.</w:t>
      </w:r>
    </w:p>
    <w:p w14:paraId="09B362F9" w14:textId="52526F21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Nella fattispecie oggetto del presente giudizio, invece, il neonato era stato affidato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assistenza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madre, persona di giovane età perfettamente compos sui, la quale era sua volta assistita dalla propria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sorella, sicché non poteva esigersi dalla struttura sanitaria, in relazione alle circostanze del caso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concreto,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espletamento di un servizio di sorveglianza continua nei confronti del minore.</w:t>
      </w:r>
    </w:p>
    <w:p w14:paraId="366BB557" w14:textId="584E7D6B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 xml:space="preserve">1.1.c. La surricordata </w:t>
      </w:r>
      <w:proofErr w:type="spellStart"/>
      <w:r w:rsidRPr="00E0785A">
        <w:rPr>
          <w:rFonts w:ascii="Times New Roman" w:hAnsi="Times New Roman" w:cs="Times New Roman"/>
          <w:i/>
          <w:iCs/>
        </w:rPr>
        <w:t>regula</w:t>
      </w:r>
      <w:proofErr w:type="spellEnd"/>
      <w:r w:rsidRPr="00E0785A">
        <w:rPr>
          <w:rFonts w:ascii="Times New Roman" w:hAnsi="Times New Roman" w:cs="Times New Roman"/>
          <w:i/>
          <w:iCs/>
        </w:rPr>
        <w:t xml:space="preserve"> iuris</w:t>
      </w:r>
      <w:r w:rsidRPr="00E0785A">
        <w:rPr>
          <w:rFonts w:ascii="Times New Roman" w:hAnsi="Times New Roman" w:cs="Times New Roman"/>
        </w:rPr>
        <w:t xml:space="preserve"> che individua il fine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 sorveglianza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esigenza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prevenire la possibilità che il paziente possa causare danni a terzi o subirne, rende incensurabile anche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la seconda ratio </w:t>
      </w:r>
      <w:proofErr w:type="spellStart"/>
      <w:r w:rsidRPr="00E0785A">
        <w:rPr>
          <w:rFonts w:ascii="Times New Roman" w:hAnsi="Times New Roman" w:cs="Times New Roman"/>
        </w:rPr>
        <w:t>decidendi</w:t>
      </w:r>
      <w:proofErr w:type="spellEnd"/>
      <w:r w:rsidRPr="00E0785A">
        <w:rPr>
          <w:rFonts w:ascii="Times New Roman" w:hAnsi="Times New Roman" w:cs="Times New Roman"/>
        </w:rPr>
        <w:t xml:space="preserve"> posta a fondamento della statuizione impugnata, con la quale è stata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esclusa la sussistenza del nesso causale tra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eventuale omissione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azienda sanitaria 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danno.</w:t>
      </w:r>
    </w:p>
    <w:p w14:paraId="4F5EDD46" w14:textId="60603E40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Diversamente da quanto sostenuto dai ricorrenti, i quali hanno addirittura ipotizzato a carico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struttura ospedaliera la violazione di un obbligo giuridico di garanzia, va ribadito che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obbligazione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sorveglianza e protezione del paziente è funzionale a prevenire il prevedibile pericolo che egli, per le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condizioni di età, di incapacità o di infermità fisica o mentale in cui si trova, possa fare del male a sé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stesso o ad altre persone, oppure possa cagionare danni a cose; vengono quindi in considerazione tutti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i rischi potenzialmente incombenti sul degente, a condizione che rientrino nello spettro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prevedibilità (cfr. ancora Cass. n.</w:t>
      </w:r>
      <w:r w:rsidR="00A35D29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22331 del 2014, cit.).</w:t>
      </w:r>
    </w:p>
    <w:p w14:paraId="1EB74358" w14:textId="1F75E3DF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lastRenderedPageBreak/>
        <w:t>Non è dunque censurabile in iure, salva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insindacabilità del motivato accertamento de facto, il giudizio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della Corte di merito, la quale, in coerente applicazione delle regole di struttura del nesso causale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fondate su principio della causalità adeguata, ha escluso dal novero delle conseguenze normali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(nonché prevedibili: arg. </w:t>
      </w:r>
      <w:r w:rsidRPr="00E0785A">
        <w:rPr>
          <w:rFonts w:ascii="Times New Roman" w:hAnsi="Times New Roman" w:cs="Times New Roman"/>
          <w:i/>
          <w:iCs/>
        </w:rPr>
        <w:t>ex</w:t>
      </w:r>
      <w:r w:rsidRPr="00E0785A">
        <w:rPr>
          <w:rFonts w:ascii="Times New Roman" w:hAnsi="Times New Roman" w:cs="Times New Roman"/>
        </w:rPr>
        <w:t xml:space="preserve"> art. 1225 cod. civ.)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eventuale inadempimento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obbligo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sorveglianza il rapimento del degente neonato affidato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assistenza della genitrice in regime di</w:t>
      </w:r>
      <w:r w:rsidR="008335EB" w:rsidRPr="008335EB">
        <w:rPr>
          <w:rFonts w:ascii="Times New Roman" w:hAnsi="Times New Roman" w:cs="Times New Roman"/>
        </w:rPr>
        <w:t xml:space="preserve"> </w:t>
      </w:r>
      <w:proofErr w:type="spellStart"/>
      <w:r w:rsidRPr="00E0785A">
        <w:rPr>
          <w:rFonts w:ascii="Times New Roman" w:hAnsi="Times New Roman" w:cs="Times New Roman"/>
        </w:rPr>
        <w:t>rooming</w:t>
      </w:r>
      <w:proofErr w:type="spellEnd"/>
      <w:r w:rsidRPr="00E0785A">
        <w:rPr>
          <w:rFonts w:ascii="Times New Roman" w:hAnsi="Times New Roman" w:cs="Times New Roman"/>
        </w:rPr>
        <w:t xml:space="preserve"> in (oltre che di altro parente), trattandosi, non della realizzazione di un rischio specifico creato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da quell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eventuale inadempimento, ma di un evento dannoso ascrivibile interamente alla condotta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terzo autore del rapimento, quale condotta illecita (dolosa) sopravvenuta, idonea ad interrompere 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relazione causale tra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inadempimento 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evento e a porsi come causa esclusiva di questo.</w:t>
      </w:r>
    </w:p>
    <w:p w14:paraId="779F46F4" w14:textId="288A621E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Il primo motivo di ricorso va pertanto rigettato.</w:t>
      </w:r>
      <w:r w:rsidR="008335EB" w:rsidRPr="008335EB">
        <w:rPr>
          <w:rFonts w:ascii="Times New Roman" w:hAnsi="Times New Roman" w:cs="Times New Roman"/>
        </w:rPr>
        <w:t xml:space="preserve"> </w:t>
      </w:r>
    </w:p>
    <w:p w14:paraId="3CB3A18F" w14:textId="083A35FC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2. Con il secondo motivo viene denunciato, ai sensi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 360 n. 5 cod. proc. civ., "omesso esame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fatto storico decisivo e degli elementi istruttori essenziali per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accertamento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omissione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vigilanza e di controllo 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Ospedale".</w:t>
      </w:r>
    </w:p>
    <w:p w14:paraId="01D23E63" w14:textId="65A165C1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I ricorrenti si dolgono che il giudice 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appello non abbia tenuto conto del fatto, asseritamente decisivo,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che la rapitrice del neonato, infermiera presso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 xml:space="preserve">Ospedale </w:t>
      </w:r>
      <w:r w:rsidR="00A35D29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, era entrata nel reparto,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non come visitatrice, bensì come "apparente infermiera della medesima struttura </w:t>
      </w:r>
      <w:r w:rsidR="00A35D29">
        <w:rPr>
          <w:rFonts w:ascii="Times New Roman" w:hAnsi="Times New Roman" w:cs="Times New Roman"/>
        </w:rPr>
        <w:t>...</w:t>
      </w:r>
      <w:r w:rsidRPr="00E0785A">
        <w:rPr>
          <w:rFonts w:ascii="Times New Roman" w:hAnsi="Times New Roman" w:cs="Times New Roman"/>
        </w:rPr>
        <w:t>", nonché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 fatto che ella si era introdotta in ospedale e aveva circolato per circa un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 nei reparti, "fuori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orario di visita".</w:t>
      </w:r>
    </w:p>
    <w:p w14:paraId="79B0088B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2.1. Questo motivo è in parte infondato, in parte inammissibile.</w:t>
      </w:r>
    </w:p>
    <w:p w14:paraId="10EBBDA5" w14:textId="71DC6242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2.1.a. È infondato nella parte in cui deduce che la Corte 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Appello non abbia tenuto conto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circostanza che la rapitrice del neonato si era introdotta nella struttura e nel reparto, non come mera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visitatrice ma come "apparente infermiera della medesima struttura"; la Corte territoriale, ben al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contrario, ha infatti dato specificamente atto della circostanza che la rapitrice era entrata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nell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 " indossando un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uniforme da infermiera" (pag. 4 della sentenza impugnata), ma a tale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circostanza non ha attribuito rilievo decisivo, reputando invece rilevante - come detto -, in funzione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esclusione della dedotta responsabilità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ente ospedaliero, la circostanza che il bambino fosse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stato affidato alla madre e che, in ragione di ciò, dovesse considerarsi attenuato il, pur sussistente,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obbligo di custodia gravante sull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ente medesimo.</w:t>
      </w:r>
    </w:p>
    <w:p w14:paraId="000BAF2D" w14:textId="4A15D043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2.1.b. Il motivo è invece inammissibile nella parte in cui sostiene che il giudice 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appello non abbia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considerato la circostanza che la rapitrice si era introdotta in ospedale e aveva circolato per circa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un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 nei reparti, "fuori dall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orario di visita".</w:t>
      </w:r>
    </w:p>
    <w:p w14:paraId="1CCA32AC" w14:textId="3B50D3F9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Va infatti evidenziato che la Corte territoriale ha reputato accertata la contraria circostanza che 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rapitrice era entrata nella struttura e nel reparto "durante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orario di apertura al pubblico" (pag. 4 della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sentenza impugnata) e a tale accertata circostanza ha motivatamente attribuito specifico rilievo in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funzione del giudizio di irresponsabilità della struttura sanitaria, sul presupposto che non fosse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esigibile da essa una attività di identificazione delle persone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ingresso del nosocomio e di controllo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della circolazione nei reparti, atteso che negli ospedali pubblici e aperti al pubblico, di norma, durante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orario di visita, resta libero sia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accesso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ospedale che ai suoi diversi reparti.</w:t>
      </w:r>
    </w:p>
    <w:p w14:paraId="6138637F" w14:textId="54F18A66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Tenuto conto del tenore della statuizione impugnata, la doglianza in esame, lungi dal censurare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omessa considerazione di un fatto discusso e decisivo, si traduce in una critica al motivato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accertamento di merito compiuto dal giudice d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appello, giustapponendo a quella operata dalla Corte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territoriale una diversa e alternativa ricostruzione dei fatti, non consentita in sede di legittimità.</w:t>
      </w:r>
    </w:p>
    <w:p w14:paraId="0638ED19" w14:textId="368EBA19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lastRenderedPageBreak/>
        <w:t>3. In definitiva, il ricorso va rigettato, per essere infondato il primo motivo e in parte inammissibile in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parte infondato il secondo.</w:t>
      </w:r>
    </w:p>
    <w:p w14:paraId="1CFAC6E6" w14:textId="427A7E7D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4.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esito alterno dei gradi di merito giustifica 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integrale compensazione, tra le parti, delle spese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giudizio di legittimità.</w:t>
      </w:r>
    </w:p>
    <w:p w14:paraId="1F9CA06B" w14:textId="7B69D6C3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5. In caso di diffusione del presente provvedimento, devono essere omesse le generalità e gli altri dati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 xml:space="preserve">identificativi dei ricorrenti in esso riportati (art. 52 </w:t>
      </w:r>
      <w:proofErr w:type="spellStart"/>
      <w:r w:rsidRPr="00E0785A">
        <w:rPr>
          <w:rFonts w:ascii="Times New Roman" w:hAnsi="Times New Roman" w:cs="Times New Roman"/>
        </w:rPr>
        <w:t>D.Lgs.</w:t>
      </w:r>
      <w:proofErr w:type="spellEnd"/>
      <w:r w:rsidRPr="00E0785A">
        <w:rPr>
          <w:rFonts w:ascii="Times New Roman" w:hAnsi="Times New Roman" w:cs="Times New Roman"/>
        </w:rPr>
        <w:t xml:space="preserve"> n. 196 del 2003).</w:t>
      </w:r>
    </w:p>
    <w:p w14:paraId="56C2EFD4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P.Q.M.</w:t>
      </w:r>
    </w:p>
    <w:p w14:paraId="0F777262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La Corte rigetta il ricorso.</w:t>
      </w:r>
    </w:p>
    <w:p w14:paraId="746BCF53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Compensa integralmente tra le parti le spese del giudizio di legittimità.</w:t>
      </w:r>
    </w:p>
    <w:p w14:paraId="2EED4313" w14:textId="5C5252C0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Dà atto della sussistenza dei presupposti processuali di cui all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art. 13, comma 1-</w:t>
      </w:r>
      <w:r w:rsidRPr="00E0785A">
        <w:rPr>
          <w:rFonts w:ascii="Times New Roman" w:hAnsi="Times New Roman" w:cs="Times New Roman"/>
          <w:i/>
          <w:iCs/>
        </w:rPr>
        <w:t>quater</w:t>
      </w:r>
      <w:r w:rsidRPr="00E0785A">
        <w:rPr>
          <w:rFonts w:ascii="Times New Roman" w:hAnsi="Times New Roman" w:cs="Times New Roman"/>
        </w:rPr>
        <w:t>, del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D.P.R. 30 maggio 2002, n. 115, per il versamento, da parte dei ricorrenti, dell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ulteriore importo a titolo di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contributo unificato pari a quello previsto per il ricorso, ove dovuto.</w:t>
      </w:r>
    </w:p>
    <w:p w14:paraId="435757B7" w14:textId="2B1D1F2B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Dispone che, in caso di utilizzazione del presente provvedimento in qualsiasi forma, sia omessa</w:t>
      </w:r>
      <w:r w:rsidR="008335EB" w:rsidRPr="008335EB">
        <w:rPr>
          <w:rFonts w:ascii="Times New Roman" w:hAnsi="Times New Roman" w:cs="Times New Roman"/>
        </w:rPr>
        <w:t xml:space="preserve"> </w:t>
      </w:r>
      <w:r w:rsidRPr="00E0785A">
        <w:rPr>
          <w:rFonts w:ascii="Times New Roman" w:hAnsi="Times New Roman" w:cs="Times New Roman"/>
        </w:rPr>
        <w:t>l</w:t>
      </w:r>
      <w:r w:rsidR="008335EB" w:rsidRPr="008335EB">
        <w:rPr>
          <w:rFonts w:ascii="Times New Roman" w:hAnsi="Times New Roman" w:cs="Times New Roman"/>
        </w:rPr>
        <w:t>’</w:t>
      </w:r>
      <w:r w:rsidRPr="00E0785A">
        <w:rPr>
          <w:rFonts w:ascii="Times New Roman" w:hAnsi="Times New Roman" w:cs="Times New Roman"/>
        </w:rPr>
        <w:t>indicazione delle generalità e degli altri dati identificativi dei ricorrenti ivi riportati.</w:t>
      </w:r>
    </w:p>
    <w:p w14:paraId="08CCD3D6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0785A">
        <w:rPr>
          <w:rFonts w:ascii="Times New Roman" w:hAnsi="Times New Roman" w:cs="Times New Roman"/>
          <w:b/>
          <w:bCs/>
        </w:rPr>
        <w:t>Conclusione</w:t>
      </w:r>
    </w:p>
    <w:p w14:paraId="34E76FBE" w14:textId="77777777" w:rsidR="00E0785A" w:rsidRPr="00E0785A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Così deciso in Roma, nella Camera di consiglio della Terza Sezione Civile, in data 4 novembre 2025.</w:t>
      </w:r>
    </w:p>
    <w:p w14:paraId="6603BEBA" w14:textId="6038C299" w:rsidR="00E35256" w:rsidRPr="008335EB" w:rsidRDefault="00E0785A" w:rsidP="008335EB">
      <w:pPr>
        <w:spacing w:after="0"/>
        <w:jc w:val="both"/>
        <w:rPr>
          <w:rFonts w:ascii="Times New Roman" w:hAnsi="Times New Roman" w:cs="Times New Roman"/>
        </w:rPr>
      </w:pPr>
      <w:r w:rsidRPr="00E0785A">
        <w:rPr>
          <w:rFonts w:ascii="Times New Roman" w:hAnsi="Times New Roman" w:cs="Times New Roman"/>
        </w:rPr>
        <w:t>Depositato in cancelleria il 9 dicembre 2025.</w:t>
      </w:r>
    </w:p>
    <w:sectPr w:rsidR="00E35256" w:rsidRPr="00833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5A"/>
    <w:rsid w:val="00482401"/>
    <w:rsid w:val="00760551"/>
    <w:rsid w:val="007C2E7F"/>
    <w:rsid w:val="008335EB"/>
    <w:rsid w:val="00A27D0A"/>
    <w:rsid w:val="00A35D29"/>
    <w:rsid w:val="00AD60A5"/>
    <w:rsid w:val="00D54612"/>
    <w:rsid w:val="00E0785A"/>
    <w:rsid w:val="00E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BA9D"/>
  <w15:chartTrackingRefBased/>
  <w15:docId w15:val="{6182050A-9AB2-4F96-B1DC-A0F2BCBE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7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7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7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7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7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7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7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7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7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78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78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78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78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78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78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7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7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78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78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78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7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78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7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3058</Words>
  <Characters>17437</Characters>
  <Application>Microsoft Office Word</Application>
  <DocSecurity>0</DocSecurity>
  <Lines>145</Lines>
  <Paragraphs>40</Paragraphs>
  <ScaleCrop>false</ScaleCrop>
  <Company/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Biancardi</dc:creator>
  <cp:keywords/>
  <dc:description/>
  <cp:lastModifiedBy>Stefano Rossi</cp:lastModifiedBy>
  <cp:revision>2</cp:revision>
  <dcterms:created xsi:type="dcterms:W3CDTF">2026-01-09T21:20:00Z</dcterms:created>
  <dcterms:modified xsi:type="dcterms:W3CDTF">2026-01-09T21:20:00Z</dcterms:modified>
</cp:coreProperties>
</file>