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284C" w14:textId="77777777" w:rsidR="00163C54" w:rsidRPr="00416F30" w:rsidRDefault="00163C54" w:rsidP="00163C54">
      <w:pPr>
        <w:pStyle w:val="wkit-align-center"/>
        <w:spacing w:before="0" w:beforeAutospacing="0" w:after="120" w:afterAutospacing="0"/>
        <w:jc w:val="center"/>
      </w:pPr>
      <w:r w:rsidRPr="00416F30">
        <w:t>REPUBBLICA ITALIANA</w:t>
      </w:r>
    </w:p>
    <w:p w14:paraId="1B76F601" w14:textId="77777777" w:rsidR="00163C54" w:rsidRPr="00416F30" w:rsidRDefault="00163C54" w:rsidP="00163C54">
      <w:pPr>
        <w:pStyle w:val="wkit-align-center"/>
        <w:spacing w:before="0" w:beforeAutospacing="0" w:after="120" w:afterAutospacing="0"/>
        <w:jc w:val="center"/>
      </w:pPr>
      <w:r w:rsidRPr="00416F30">
        <w:t>IN NOME DEL POPOLO ITALIANO</w:t>
      </w:r>
    </w:p>
    <w:p w14:paraId="3DC84AB9" w14:textId="77777777" w:rsidR="00163C54" w:rsidRPr="00416F30" w:rsidRDefault="00163C54" w:rsidP="00163C54">
      <w:pPr>
        <w:pStyle w:val="wkit-align-center"/>
        <w:spacing w:before="0" w:beforeAutospacing="0" w:after="120" w:afterAutospacing="0"/>
        <w:jc w:val="center"/>
      </w:pPr>
      <w:r w:rsidRPr="00416F30">
        <w:t>IL TRIBUNALE ORDINARIO DI PRATO</w:t>
      </w:r>
    </w:p>
    <w:p w14:paraId="47E76430" w14:textId="77777777" w:rsidR="00163C54" w:rsidRPr="00416F30" w:rsidRDefault="00163C54" w:rsidP="00163C54">
      <w:pPr>
        <w:pStyle w:val="wkit-align-center"/>
        <w:spacing w:before="0" w:beforeAutospacing="0" w:after="120" w:afterAutospacing="0"/>
        <w:jc w:val="center"/>
      </w:pPr>
      <w:r w:rsidRPr="00416F30">
        <w:t>SEZIONE UNICA CIVILE</w:t>
      </w:r>
    </w:p>
    <w:p w14:paraId="12FB5C22" w14:textId="77777777" w:rsidR="00163C54" w:rsidRPr="00416F30" w:rsidRDefault="00163C54" w:rsidP="00163C54">
      <w:pPr>
        <w:pStyle w:val="wkit-indentation-level-0"/>
        <w:spacing w:before="0" w:beforeAutospacing="0" w:after="120" w:afterAutospacing="0"/>
        <w:jc w:val="both"/>
      </w:pPr>
      <w:r w:rsidRPr="00416F30">
        <w:t>in persona del giudice unico, dott.ssa Federica Ferretti, ha emesso la seguente</w:t>
      </w:r>
    </w:p>
    <w:p w14:paraId="500A3DE5" w14:textId="77777777" w:rsidR="00163C54" w:rsidRPr="00416F30" w:rsidRDefault="00163C54" w:rsidP="00163C54">
      <w:pPr>
        <w:pStyle w:val="wkit-align-center"/>
        <w:spacing w:before="0" w:beforeAutospacing="0" w:after="120" w:afterAutospacing="0"/>
        <w:jc w:val="center"/>
      </w:pPr>
      <w:r w:rsidRPr="00416F30">
        <w:t>SENTENZA</w:t>
      </w:r>
    </w:p>
    <w:p w14:paraId="33F56737" w14:textId="77777777" w:rsidR="00163C54" w:rsidRPr="00416F30" w:rsidRDefault="00163C54" w:rsidP="00163C54">
      <w:pPr>
        <w:pStyle w:val="wkit-indentation-level-0"/>
        <w:spacing w:before="0" w:beforeAutospacing="0" w:after="120" w:afterAutospacing="0"/>
        <w:jc w:val="both"/>
      </w:pPr>
      <w:r w:rsidRPr="00416F30">
        <w:t>nella causa iscritta al n. 3131/2015 del R.G.A.C., pendente</w:t>
      </w:r>
    </w:p>
    <w:p w14:paraId="68856778" w14:textId="77777777" w:rsidR="00163C54" w:rsidRPr="00416F30" w:rsidRDefault="00163C54" w:rsidP="00163C54">
      <w:pPr>
        <w:pStyle w:val="wkit-align-center"/>
        <w:spacing w:before="0" w:beforeAutospacing="0" w:after="120" w:afterAutospacing="0"/>
        <w:jc w:val="center"/>
      </w:pPr>
      <w:r w:rsidRPr="00416F30">
        <w:t>TRA</w:t>
      </w:r>
    </w:p>
    <w:p w14:paraId="60DF532A" w14:textId="77777777" w:rsidR="00163C54" w:rsidRPr="00416F30" w:rsidRDefault="00163C54" w:rsidP="00163C54">
      <w:pPr>
        <w:pStyle w:val="wkit-indentation-level-0"/>
        <w:spacing w:before="0" w:beforeAutospacing="0" w:after="120" w:afterAutospacing="0"/>
        <w:jc w:val="both"/>
      </w:pPr>
      <w:r w:rsidRPr="00416F30">
        <w:t>M.F. (C.F. (...)),</w:t>
      </w:r>
      <w:r w:rsidR="00416F30" w:rsidRPr="00416F30">
        <w:t xml:space="preserve"> rappresentata dall'avv. M.</w:t>
      </w:r>
      <w:r w:rsidRPr="00416F30">
        <w:t>V</w:t>
      </w:r>
      <w:r w:rsidR="00416F30" w:rsidRPr="00416F30">
        <w:t>.</w:t>
      </w:r>
      <w:r w:rsidRPr="00416F30">
        <w:t xml:space="preserve"> quale amministratore di sostegno, elettivamente domiciliata in </w:t>
      </w:r>
      <w:r w:rsidR="00416F30" w:rsidRPr="00416F30">
        <w:t>(omissis)</w:t>
      </w:r>
      <w:r w:rsidRPr="00416F30">
        <w:t xml:space="preserve"> pres</w:t>
      </w:r>
      <w:r w:rsidR="00416F30" w:rsidRPr="00416F30">
        <w:t>so lo studio dell'avv. B.</w:t>
      </w:r>
      <w:r w:rsidRPr="00416F30">
        <w:t>M</w:t>
      </w:r>
      <w:r w:rsidR="00416F30" w:rsidRPr="00416F30">
        <w:t>.</w:t>
      </w:r>
      <w:r w:rsidRPr="00416F30">
        <w:t xml:space="preserve"> che li rappresenta e difende giusta procura da considerarsi apposta in calce alla comparsa di costituzione a ministero di nuovo difensore ai sensi dell'art. 83, c. 3 c.p.c.</w:t>
      </w:r>
    </w:p>
    <w:p w14:paraId="728653A9" w14:textId="77777777" w:rsidR="00163C54" w:rsidRPr="00416F30" w:rsidRDefault="00163C54" w:rsidP="00163C54">
      <w:pPr>
        <w:pStyle w:val="wkit-align-right"/>
        <w:spacing w:before="0" w:beforeAutospacing="0" w:after="120" w:afterAutospacing="0"/>
        <w:jc w:val="right"/>
      </w:pPr>
      <w:r w:rsidRPr="00416F30">
        <w:t>RICORRENTE</w:t>
      </w:r>
    </w:p>
    <w:p w14:paraId="26447FB2" w14:textId="77777777" w:rsidR="00163C54" w:rsidRPr="00416F30" w:rsidRDefault="00163C54" w:rsidP="00163C54">
      <w:pPr>
        <w:pStyle w:val="wkit-align-center"/>
        <w:spacing w:before="0" w:beforeAutospacing="0" w:after="120" w:afterAutospacing="0"/>
        <w:jc w:val="center"/>
      </w:pPr>
      <w:r w:rsidRPr="00416F30">
        <w:t>E</w:t>
      </w:r>
    </w:p>
    <w:p w14:paraId="2CE38889" w14:textId="77777777" w:rsidR="00163C54" w:rsidRPr="00416F30" w:rsidRDefault="00163C54" w:rsidP="00163C54">
      <w:pPr>
        <w:pStyle w:val="wkit-indentation-level-0"/>
        <w:spacing w:before="0" w:beforeAutospacing="0" w:after="120" w:afterAutospacing="0"/>
        <w:jc w:val="both"/>
      </w:pPr>
      <w:r w:rsidRPr="00416F30">
        <w:t xml:space="preserve">V.F.H. S.R.L. (GIÀ C.C.V. S.R.L.) (C.F. (...)), in persona del legale rappresentante L.D., elettivamente domiciliata in </w:t>
      </w:r>
      <w:r w:rsidR="00416F30" w:rsidRPr="00416F30">
        <w:t>(omissis)</w:t>
      </w:r>
      <w:r w:rsidRPr="00416F30">
        <w:t>, presso lo studio degli avv.ti M</w:t>
      </w:r>
      <w:r w:rsidR="00416F30" w:rsidRPr="00416F30">
        <w:t>.</w:t>
      </w:r>
      <w:r w:rsidRPr="00416F30">
        <w:t>C</w:t>
      </w:r>
      <w:r w:rsidR="00416F30" w:rsidRPr="00416F30">
        <w:t>.</w:t>
      </w:r>
      <w:r w:rsidRPr="00416F30">
        <w:t xml:space="preserve"> che la rappresenta e difende giusta procura in calce ai sensi dell'art. 83, c. 3 c.p.c. alla comparsa di costituzione di nuovo difensore depositata telematicamente il 07/12/2018</w:t>
      </w:r>
    </w:p>
    <w:p w14:paraId="2FF9C471" w14:textId="77777777" w:rsidR="00163C54" w:rsidRPr="00416F30" w:rsidRDefault="00163C54" w:rsidP="00163C54">
      <w:pPr>
        <w:pStyle w:val="wkit-align-right"/>
        <w:spacing w:before="0" w:beforeAutospacing="0" w:after="120" w:afterAutospacing="0"/>
        <w:jc w:val="right"/>
      </w:pPr>
      <w:r w:rsidRPr="00416F30">
        <w:t>CONVENUTA</w:t>
      </w:r>
    </w:p>
    <w:p w14:paraId="1BF1E045" w14:textId="77777777" w:rsidR="00163C54" w:rsidRPr="00416F30" w:rsidRDefault="00163C54" w:rsidP="00163C54">
      <w:pPr>
        <w:pStyle w:val="wkit-align-center"/>
        <w:spacing w:before="0" w:beforeAutospacing="0" w:after="120" w:afterAutospacing="0"/>
        <w:jc w:val="center"/>
      </w:pPr>
      <w:r w:rsidRPr="00416F30">
        <w:t>E</w:t>
      </w:r>
    </w:p>
    <w:p w14:paraId="293579E7" w14:textId="77777777" w:rsidR="00163C54" w:rsidRPr="00416F30" w:rsidRDefault="00163C54" w:rsidP="00163C54">
      <w:pPr>
        <w:pStyle w:val="wkit-indentation-level-0"/>
        <w:spacing w:before="0" w:beforeAutospacing="0" w:after="120" w:afterAutospacing="0"/>
        <w:jc w:val="both"/>
      </w:pPr>
      <w:r w:rsidRPr="00416F30">
        <w:t>V.B. (C.F. (...)), residente in S. F., alla Via T. n. 56</w:t>
      </w:r>
    </w:p>
    <w:p w14:paraId="03926DA9" w14:textId="77777777" w:rsidR="00163C54" w:rsidRPr="00416F30" w:rsidRDefault="00163C54" w:rsidP="00163C54">
      <w:pPr>
        <w:pStyle w:val="wkit-align-right"/>
        <w:spacing w:before="0" w:beforeAutospacing="0" w:after="120" w:afterAutospacing="0"/>
        <w:jc w:val="right"/>
      </w:pPr>
      <w:r w:rsidRPr="00416F30">
        <w:t>CONVENUTO CONTUMACE</w:t>
      </w:r>
    </w:p>
    <w:p w14:paraId="23859E99" w14:textId="77777777" w:rsidR="00163C54" w:rsidRPr="00416F30" w:rsidRDefault="00163C54" w:rsidP="00163C54">
      <w:pPr>
        <w:pStyle w:val="wkit-align-center"/>
        <w:spacing w:before="0" w:beforeAutospacing="0" w:after="120" w:afterAutospacing="0"/>
        <w:jc w:val="center"/>
      </w:pPr>
      <w:r w:rsidRPr="00416F30">
        <w:t>NONCHÈ</w:t>
      </w:r>
    </w:p>
    <w:p w14:paraId="582221E2" w14:textId="77777777" w:rsidR="00163C54" w:rsidRPr="00416F30" w:rsidRDefault="00163C54" w:rsidP="00163C54">
      <w:pPr>
        <w:pStyle w:val="wkit-indentation-level-0"/>
        <w:spacing w:before="0" w:beforeAutospacing="0" w:after="120" w:afterAutospacing="0"/>
        <w:jc w:val="both"/>
      </w:pPr>
      <w:r w:rsidRPr="00416F30">
        <w:t xml:space="preserve">A.E. LIMITED (P.I. (...)), in persona della procuratrice speciale A.G., elettivamente domiciliata in </w:t>
      </w:r>
      <w:r w:rsidR="00416F30" w:rsidRPr="00416F30">
        <w:t>(omissis)</w:t>
      </w:r>
      <w:r w:rsidRPr="00416F30">
        <w:t xml:space="preserve"> p</w:t>
      </w:r>
      <w:r w:rsidR="00416F30" w:rsidRPr="00416F30">
        <w:t>resso lo studio dell'avv. G.</w:t>
      </w:r>
      <w:r w:rsidRPr="00416F30">
        <w:t>G</w:t>
      </w:r>
      <w:r w:rsidR="00416F30" w:rsidRPr="00416F30">
        <w:t>.</w:t>
      </w:r>
      <w:r w:rsidRPr="00416F30">
        <w:t xml:space="preserve"> e rappresentata e difesa dagli avv.ti S</w:t>
      </w:r>
      <w:r w:rsidR="00416F30" w:rsidRPr="00416F30">
        <w:t>.</w:t>
      </w:r>
      <w:r w:rsidRPr="00416F30">
        <w:t>T</w:t>
      </w:r>
      <w:r w:rsidR="00416F30" w:rsidRPr="00416F30">
        <w:t>.</w:t>
      </w:r>
      <w:r w:rsidRPr="00416F30">
        <w:t xml:space="preserve"> e M</w:t>
      </w:r>
      <w:r w:rsidR="00416F30" w:rsidRPr="00416F30">
        <w:t>.</w:t>
      </w:r>
      <w:r w:rsidRPr="00416F30">
        <w:t>H</w:t>
      </w:r>
      <w:r w:rsidR="00416F30" w:rsidRPr="00416F30">
        <w:t>.</w:t>
      </w:r>
      <w:r w:rsidRPr="00416F30">
        <w:t xml:space="preserve"> giusta procura alle liti apposta in calce alla comparsa di costituzione ai sensi dell'art. 83, c. 3 c.p.c.</w:t>
      </w:r>
    </w:p>
    <w:p w14:paraId="307AADD3" w14:textId="77777777" w:rsidR="00163C54" w:rsidRPr="00416F30" w:rsidRDefault="00163C54" w:rsidP="00163C54">
      <w:pPr>
        <w:pStyle w:val="wkit-align-right"/>
        <w:spacing w:before="0" w:beforeAutospacing="0" w:after="120" w:afterAutospacing="0"/>
        <w:jc w:val="right"/>
      </w:pPr>
      <w:r w:rsidRPr="00416F30">
        <w:t>TERZA CHIAMATA</w:t>
      </w:r>
    </w:p>
    <w:p w14:paraId="6D6B3F82" w14:textId="77777777" w:rsidR="00163C54" w:rsidRPr="00416F30" w:rsidRDefault="00163C54" w:rsidP="00163C54">
      <w:pPr>
        <w:pStyle w:val="wkit-align-center"/>
        <w:spacing w:before="0" w:beforeAutospacing="0" w:after="120" w:afterAutospacing="0"/>
        <w:jc w:val="center"/>
      </w:pPr>
      <w:r w:rsidRPr="00416F30">
        <w:t>AVENTE AD OGGETTO</w:t>
      </w:r>
    </w:p>
    <w:p w14:paraId="46703F7C" w14:textId="77777777" w:rsidR="00163C54" w:rsidRPr="00416F30" w:rsidRDefault="00163C54" w:rsidP="00163C54">
      <w:pPr>
        <w:pStyle w:val="wkit-indentation-level-0"/>
        <w:spacing w:before="0" w:beforeAutospacing="0" w:after="0" w:afterAutospacing="0"/>
        <w:jc w:val="both"/>
      </w:pPr>
      <w:r w:rsidRPr="00416F30">
        <w:t>Responsabilità medica</w:t>
      </w:r>
    </w:p>
    <w:p w14:paraId="5B404931" w14:textId="77777777" w:rsidR="00513F7B" w:rsidRPr="00416F30" w:rsidRDefault="00513F7B" w:rsidP="00163C54">
      <w:pPr>
        <w:jc w:val="both"/>
        <w:rPr>
          <w:rFonts w:ascii="Times New Roman" w:hAnsi="Times New Roman" w:cs="Times New Roman"/>
        </w:rPr>
      </w:pPr>
    </w:p>
    <w:p w14:paraId="4C44D223" w14:textId="77777777" w:rsidR="00163C54" w:rsidRPr="00416F30" w:rsidRDefault="00163C54" w:rsidP="00163C54">
      <w:pPr>
        <w:jc w:val="both"/>
        <w:rPr>
          <w:rFonts w:ascii="Times New Roman" w:hAnsi="Times New Roman" w:cs="Times New Roman"/>
          <w:b/>
          <w:bCs/>
        </w:rPr>
      </w:pPr>
      <w:r w:rsidRPr="00416F30">
        <w:rPr>
          <w:rFonts w:ascii="Times New Roman" w:hAnsi="Times New Roman" w:cs="Times New Roman"/>
          <w:b/>
          <w:bCs/>
        </w:rPr>
        <w:t>Svolgimento del processo</w:t>
      </w:r>
    </w:p>
    <w:p w14:paraId="073E73CB"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 xml:space="preserve">La Sig.ra M.F., con ricorso ex art. 702 bis c.p.c., ha agito nei confronti di V.B. e la C.C.V. (oggi V.F.H. S.r.l.) deducendo: di aver avvertito, a partire dall'inizio dell'anno 2008, un crescente disagio a livello estetico per l'ispessimento osseo a carico del primo dito del piede sinistro; di essere fatta visitare nei primi mesi dell'anno 2008 dal dott. V.B., che svolgeva la libera professione presso la C.C.V.; che durante la visita il medico convenuto aveva proposto alla ricorrente di sottoporsi ad un intervento chirurgico la cui tecnica operatoria veniva illustrata con l'ausilio di un disegno; di aver rifiutato l'utilizzo della tecnica prospettata, perché ritenuta eccessivamente invasiva, e di aver chiesto se fosse possibile praticare un intervento alternativo e meno invasivo di quello illustratole; che il medico l'aveva rassicurata dicendole che avrebbe adottato una tecnica diversa e meno invasiva; che all'esito della prima visita il B. non aveva provveduto a redigere alcun referto; di essere stata operata in data 05/06/2009 presso la C.C.V. di P.; di aver acconsentito in quella occasione alla sola operazione di "asportazione ipertrosi alluce sinistro", come riportato nel modulo del consenso informato che, </w:t>
      </w:r>
      <w:r w:rsidRPr="00416F30">
        <w:rPr>
          <w:rFonts w:ascii="Times New Roman" w:hAnsi="Times New Roman" w:cs="Times New Roman"/>
        </w:rPr>
        <w:lastRenderedPageBreak/>
        <w:t>seppur mancante della data e delle generalità del medico chirurgo, era sottoscritto sia da quest'ultima che dalla ricorrente; che prima di entrare nella sala operatoria aveva ribadito la propria volontà di essere sottoposta ad un intervento "non cruento"; di essere stata tuttavia sottoposta ad un intervento diverso da quello concordato, ovvero ad un intervento "secondo K."; che detta tecnica era proprio quella che il B. aveva inizialmente illustrato alla F. ma che questa aveva giudicato troppo invasiva, negando il suo consenso all'operazione; di aver manifestato, in seguito all'intervento, serie difficoltà alla deambulazione ed di avvertire al piede sinistro un dolore maggiore rispetto a quello percepito prima dell'intervento; che nel giugno 2011, a causa del persistere delle difficoltà di movimento e del continuo dolore al piede sinistro, si era rivolta al dott. G., per avere un parere medico legale sull'eventuale collegamento tra i sintomi riferiti e l'intervento chirurgico effettuato dal B.; che il medico legale interpellato aveva riconosciuto che l'intervento eseguito dal B. non era quello per cui la F. aveva prestato il proprio consenso scritto e l'esistenza di un nesso di causalità tra l'intervento e i sintomi lamentati dalla medesima F.; che ancora nel 2012 il medico curante aveva certificato il persistere di una notevole difficoltà nella deambulazione della sig.ra F.; di aver pertanto instaurato un procedimento di istruzione preventiva innanzi al Tribunale di Prato, iscritto al n. R.G. 2702/2012; che il consulente tecnico d'ufficio nominato in detto procedimento aveva rilevato numerose inadempienze professionali imputabili sia al B. che alla C.C.V., ovvero: 1) la mancata predisposizione di documentazione medica idonea in occasione delle visite precedenti all'intervento chirurgico; 2) la negligente compilazione del consenso informato; 3) la mancata corrispondenza tra l'intervento acconsentito e quello effettuato; 4) la negligente formazione della cartella clinica; 5) l'esecuzione di un intervento sovradimensionato rispetto a quello che sarebbe stato necessario; che il B., omettendo di fornirle informazioni precise, puntuali ed esaustive in relazione alla tecnica operatoria, alle possibili complicanze ed ai rischi connessi, aveva leso il diritto all'autodeterminazione della ricorrente; che inoltre il convenuto, avendo effettuato un intervento per cui la sig.ra F. aveva espressamente negato il proprio consenso, era tenuto a risarcire i danni patrimoniali, non patrimoniali e da perdita di chance; che il CTU nominato nel procedimento di ATP aveva riconosciuto l'esistenza di un nesso di causalità tra l'intervento eseguito e l'aggravamento delle condizioni di salute della F.; che il danno non patrimoniale era quantificabile in Euro 10.131,50, mentre quello patrimoniale poteva essere calcolato, forfettariamente, in Euro 40.000,00; che anche il personale medico dipendente della C.C.V. non aveva adempiuto diligentemente alle proprie obbligazioni professionali, come emergeva dalla lacunosità della cartella clinica della F.. La ricorrente ha quindi chiesto: 1) previo accertamento del grave inadempimento posto in essere dal B. a titolo di responsabilità professionale per omesse informazioni e per aver eseguito un intervento chirurgico per il quale era stato espressamente negato il consenso dalla paziente nonché aver eseguito un intervento inopportuno e esorbitante le necessità terapeutiche, condannare il medico convenuto al risarcimento del danno patrimoniale subito dalla F. e consistente nelle spese mediche già documentate in sede di ATP e di tutte quelle conseguenti all'intervento effettuato dal convenuto, per l'importo pari ad Euro 40.000,00 o in quello maggiore o minore che si vorrà ritenere di giustizia; nonché al risarcimento del danno non patrimoniale consistente nel peggioramento della qualità della vita e nel peggioramento psico-fisico conseguito all'intervento, accertato in sede di ATP e quantificabile in Euro 10.132,50 nonché al risarcimento del danno da perdita di chance, oltre interessi legali che matureranno dal giorno della domanda a quello dell'effettivo soddisfo; 2) previo accertamento della responsabilità contrattuale della C.C.V. a causa della negligente gestione documentale dell'attività sanitaria, che ha concorso a causare l'esecuzione dell'intervento improprio e dell'overtreatment, condannare la casa di cura, in proprio e/o in solido con B., al risarcimento del danno patrimoniale e non patrimoniale subito dalla F., come innanzi quantificato.</w:t>
      </w:r>
    </w:p>
    <w:p w14:paraId="01ECD584"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All'udienza del 21/01/2016 il Giudice assegnatario della causa, previa istanza della ricorrente, ha assegnato a quest'ultima un ulteriore termine per la notifica ai convenuti del ricorso introduttivo, la cui prima notifica non era andata a buon fine.</w:t>
      </w:r>
    </w:p>
    <w:p w14:paraId="75C7E737"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V.B., anche a seguito della rinnovazione della notificazione, non si è costituito in giudizio ed è stato dichiarato contumace.</w:t>
      </w:r>
    </w:p>
    <w:p w14:paraId="10FE2704"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 xml:space="preserve">Si è costituita la V.F.H. S.r.l. (già C.C.V., d'ora innanzi anche solo "V.F.") chiedendo in via principale, di rigettare la domanda svolta dalla ricorrente; in via subordinata, in ipotesi di accoglimento della domanda di parte ricorrente, di condannare la assicuratrice A.E. Ltd a corrispondere direttamente l'indennizzo alla </w:t>
      </w:r>
      <w:r w:rsidRPr="00416F30">
        <w:rPr>
          <w:rFonts w:ascii="Times New Roman" w:hAnsi="Times New Roman" w:cs="Times New Roman"/>
        </w:rPr>
        <w:lastRenderedPageBreak/>
        <w:t>ricorrente ai sensi dell'art. 1917 c.c. e, in ogni caso, tenere V.F. indenne da ogni pretesa svolta dalla F. in forza della polizza assicurativa con questa stipulata; ha chiesto altresì di differire l'udienza di comparizione per permettere la chiamata in causa della detta assicurazione. La casa di cura ha contestato: la propria carenza di titolarità del rapporto rispetto alla domanda introdotta dalla F.; l'infondatezza e la genericità della domanda di controparte; l'opponibilità nei suoi confronti degli esiti dall'A.T.P., non avendo partecipato a detto procedimento; che pur imputando la ricorrente la negligente redazione della cartella clinica, era proprio da quella che la F. aveva appreso di essere stata sottoposta ad un intervento mediante osteotomia di K.; che detto intervento era indicato per il trattamento della deformità che affliggeva la ricorrente; che gli esiti negativi dalla stessa lamentati erano conseguenze possibili dell'intervento praticato; che non vi era prova che la ricorrente avrebbe rifiutato di sottoporsi all'intervento se ne avesse riconosciuto i rischi.</w:t>
      </w:r>
    </w:p>
    <w:p w14:paraId="012B7C94"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Con ordinanza del 14/09/2016 il Giudice ha differito l'udienza di comparizione per permettere la notificazione al terzo A.E. Ltd. il relativo atto di chiamata in causa.</w:t>
      </w:r>
    </w:p>
    <w:p w14:paraId="7C56EF1C"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Detta compagnia di assicurazioni si è costituita in giudizio chiedendo: in via principale, di accertare e dichiarare che la copertura di cui alla polizza stipulata con V.F. non è operante e per l'effetto rigettare le domande proposte dalla convenuta costituita; in ogni caso, di rigettare le domande proposte dalla ricorrente; in subordine, nella denegata e non creduta ipotesi in cui si ritenesse operante la polizza, di contenere gli obblighi di garanzia entro i limiti di massimale, tenuto conto delle franchigie ed in particolare della franchigia fissa assoluta per ogni sinistro, come indicata in polizza ed all'art. 29b) delle condizioni generali di polizza dell'importo di Euro 50.000,00, e comunque entro la quota di corresponsabilità accertata in capo a V.F., con esclusione di eventuali poste risarcitorie di carattere sanzionatorio/punitivo. La terza chiamata ha dedotto: l'infondatezza della domanda proposta dalla F. nei confronti di V.F.; la mancata prova da parte della F. di non avere avuto corretta informazione e di non aver prestato il consenso, della sussistenza di un danno conseguenza dell'intervento e del fatto che avrebbe rifiutato l'intervento se fosse stata compiutamente edotta sulle possibili conseguenze e rischi; la genericità delle contestazioni di parte ricorrente; l'inapplicabilità al caso di specie della copertura assicurativa; l'infondatezza della domanda di manleva proposta da V.F. nei confronti di A.; la sussistenza di limiti di massimali e di franchigie.</w:t>
      </w:r>
    </w:p>
    <w:p w14:paraId="2E2011F7"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All'udienza del 14/02/2017 il Giudice, rilevato che la causa necessitava di una istruzione non sommaria, ha disposto il mutamento del rito da sommario di cognizione ad ordinario di cognizione, assegnando alle parti i termini di cui all'art. 183, c. 6 c.p.c.</w:t>
      </w:r>
    </w:p>
    <w:p w14:paraId="1F5DFB70"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La causa è stata istruita con l'acquisizione di documenti e l'escussione di testimoni.</w:t>
      </w:r>
    </w:p>
    <w:p w14:paraId="7383AED5"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Dopo una serie di rinvii, previa assegnazione allo scrivente Giudice con provv. del Presidente del Tribunale di Prato prot. n. (...) del 9/10/2019, la causa è stata trattenuta in decisione con assegnazione alle parti dei termini previsti dall'art. 190 c.p.c. per il deposito di comparse conclusionali e memorie di replica.</w:t>
      </w:r>
    </w:p>
    <w:p w14:paraId="1DD71598"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Con ordinanza del 25/05/2022 la causa è stata rimessa sul ruolo per l'espletamento di una consulenza tecnica medico-legale nel contraddittorio di tutte le parti costituite e quindi, all'udienza del 19/04/2023, è stata nuovamente trattenuta in decisione previa concessione dei termini di cui all'art. 190 c.p.c. per il deposito delle comparse conclusionali e delle memorie di replica.</w:t>
      </w:r>
    </w:p>
    <w:p w14:paraId="5F643791" w14:textId="77777777" w:rsidR="00163C54" w:rsidRPr="00416F30" w:rsidRDefault="00163C54" w:rsidP="00163C54">
      <w:pPr>
        <w:jc w:val="both"/>
        <w:rPr>
          <w:rFonts w:ascii="Times New Roman" w:hAnsi="Times New Roman" w:cs="Times New Roman"/>
          <w:b/>
          <w:bCs/>
        </w:rPr>
      </w:pPr>
      <w:r w:rsidRPr="00416F30">
        <w:rPr>
          <w:rFonts w:ascii="Times New Roman" w:hAnsi="Times New Roman" w:cs="Times New Roman"/>
          <w:b/>
          <w:bCs/>
        </w:rPr>
        <w:t>Motivi della decisione</w:t>
      </w:r>
    </w:p>
    <w:p w14:paraId="22B49D3B"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1. NEL MERITO DELLA DOMANDA IN MATERIA DI "OVERTREATMENT"</w:t>
      </w:r>
    </w:p>
    <w:p w14:paraId="060094F6"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1.A.LA DOMANDA DI PARTE ATTRICE</w:t>
      </w:r>
    </w:p>
    <w:p w14:paraId="5F5F6181"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 xml:space="preserve">La sig.ra F. ha contestato di essere stata sottoposta ad un trattamento sanitario esorbitante le proprie necessità terapeutiche (c.d. "overtreatment"), lamentando una lesione del diritto alla salute consistente nel "prolungamento dell'invalidità biologica temporanea rispetto a quella che si sarebbe attesa a fronte di un intervento meno invasivo" e "un danno biologico permanente rappresentato dal maggior danno rispetto a quello che si sarebbe atteso a fronte di un intervento meno invasivo" nonché grave peggioramento delle condizioni </w:t>
      </w:r>
      <w:r w:rsidRPr="00416F30">
        <w:rPr>
          <w:rFonts w:ascii="Times New Roman" w:hAnsi="Times New Roman" w:cs="Times New Roman"/>
        </w:rPr>
        <w:lastRenderedPageBreak/>
        <w:t>di salute della ricorrente e la mancata risoluzione delle problematiche estetiche che avevano indotto la stessa a richiedere aiuto medico.</w:t>
      </w:r>
    </w:p>
    <w:p w14:paraId="692C7E48"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1.B. SULL'ECCEZIONE DI INAMMISSIBILITÀ DELLA DOMANDA DI PARTE ATTRICE FORMULATA CON LA MEMORIA EX ART. 183, C. 6, N. 1 C.P.C.</w:t>
      </w:r>
    </w:p>
    <w:p w14:paraId="6AF589FD"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Deve pertanto essere rigettata l'eccezione di inammissibilità della domanda nuova che la parte attrice avrebbe asseritamente proposto con la propria prima memoria istruttoria.</w:t>
      </w:r>
    </w:p>
    <w:p w14:paraId="68BB9616"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È ben vero che le conclusioni rassegnate nel ricorso la parte attrice ha formulato la domanda inerente il c.d. overtreatment (ma medesime considerazioni valgono anche per la domanda in materia di consenso informato, trattata nei successivi paragrafi) esclusivamente nei confronti di V.B., mentre in quelle rassegnate nella memoria ex art. 183, c. 6, n. 1 c.p.c. e nelle note depositate ex art. 127 ter c.p.c. tale domanda è stata formulata anche nei confronti di V.F.. Dal contenuto del ricorso introduttivo e, in particolare, del paragrafo relativo alla responsabilità sanitaria di V.F., si deve ritenere che la stessa abbia inteso contestare non solo l'inadempimento della struttura sanitaria agli obblighi di corretta tenuta della cartella clinica, ma anche una corresponsabilità della stessa in relazione ai fatti contestati al medico convenuto. Le sentenze richiamate nel predetto paragrafo hanno infatti ad oggetto l'affermazione della carattere solidale della responsabilità tra medico e casa di cura.</w:t>
      </w:r>
    </w:p>
    <w:p w14:paraId="7F79A879"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1.C. SULL'ECCEZIONE DI DIFETTO DI LEGITTIMAZIONE PASSIVA DI V.F.</w:t>
      </w:r>
    </w:p>
    <w:p w14:paraId="79412C08"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Deve essere rigettata l'eccezione di difetto di legittimazione passiva sollevata da parte di V.F.. La condizione perché si riconosca al convenuto la legittimazione passiva a contraddire è che alla stregua della sola prospettazione attorea il convenuto sia il soggetto nei confronti di cui l'attore ha il diritto potestativo di ottenere dal giudice una sentenza di merito. La verifica in merito alla sussistenza della legittimazione passiva deve pertanto essere effettuata esclusivamente sulla base dei fatti prospettati dall'attore, prescindendo quindi dalla effettiva titolarità del rapporto dedotto in causa.</w:t>
      </w:r>
    </w:p>
    <w:p w14:paraId="54431555"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Nel caso di specie la parte attrice che chiaramente dedotto la sussistenza della responsabilità della Casa di Cura convenuta per i danni allegati deducendo che quest'ultima non avrebbe adempiuto diligentemente alle proprie obbligazioni in ragione della lacunosità con cui sarebbe stata formata la propria cartella clinica.</w:t>
      </w:r>
    </w:p>
    <w:p w14:paraId="2C964369"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1.D.INQUADRAMENTO GIURIDICO</w:t>
      </w:r>
    </w:p>
    <w:p w14:paraId="1BA4CB58"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Appare opportuno, ai fini di una migliore chiarezza espositiva, riepilogare brevemente i principi di diritto in materia di responsabilità della struttura sanitaria e del medico.</w:t>
      </w:r>
    </w:p>
    <w:p w14:paraId="1C19AB4A"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Innanzitutto si evidenzia che i fatti di causa non rientrano nell'ambito di applicazione né della L. n. 189 del 2012 (c.d. "decreto Balduzzi") né della L. n. 24 del 2017 (c.d. "legge Gelli-Bianco"), fatto salvo quanto si dirà successivamente in punto di liquidazione del danno, in quanto anteriori all'entrata in vigore dei predetti testi normativi (cfr. Cass. 11/11/2019, n. 28994 in punto di irretroattività delle norme sostanziali contenute nelle predette leggi). Si deve, dunque, fare riferimento ai principi di diritto elaborati dalla Corte di Cassazione antecedentemente all'adozione dei predetti testi normativi.</w:t>
      </w:r>
    </w:p>
    <w:p w14:paraId="1FCCF1D4"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 xml:space="preserve">La giurisprudenza di legittimità tradizionalmente riconduce entrambe le ipotesi di responsabilità al novero di quella contrattuale, sebbene riconoscendo che il rapporto tra paziente e medico è autonomo rispetto a quello il paziente e la struttura: ciò in quanto l'accettazione del paziente in ospedale, ai fini del ricovero o di una visita ambulatoriale, comporta la conclusione di un contratto al quale si applicano le regole ordinarie sull'inadempimento fissate dall'art. </w:t>
      </w:r>
      <w:r w:rsidRPr="00416F30">
        <w:rPr>
          <w:rFonts w:ascii="Times New Roman" w:hAnsi="Times New Roman" w:cs="Times New Roman"/>
          <w:lang w:val="en-GB"/>
        </w:rPr>
        <w:t xml:space="preserve">1218 c.c. (cfr. Cass. 19/04/2006, n. 9085; Cass. 26/01/2006, n. 1698; Cass. 28/05/2004, n. 10297; Cass. 14/07/2003, n. 11001; Cass. 21/07/ 2003, n. 11316; Cass. 11/03/2002, n. 3492). </w:t>
      </w:r>
      <w:r w:rsidRPr="00416F30">
        <w:rPr>
          <w:rFonts w:ascii="Times New Roman" w:hAnsi="Times New Roman" w:cs="Times New Roman"/>
        </w:rPr>
        <w:t xml:space="preserve">Detto contratto, come precisato dalle Sezioni Unite della Corte di Cassazione nella nota sentenza n. 577 dell'11/01/2008, "va ben oltre la fornitura di prestazioni alberghiere, comprendendo anche la messa a disposizione di personale medico ausiliario, paramedico, l'apprestamento di medicinali e di tutte le attrezzature necessarie anche per eventuali complicazioni. In virtù del contratto, la struttura deve quindi fornire al paziente una prestazione assai articolata, definita genericamente di "assistenza sanitaria", che ingloba al suo interno, oltre alla prestazione principale medica, anche una serie di obblighi c.d. di protezione ed accessori". Dalla </w:t>
      </w:r>
      <w:r w:rsidRPr="00416F30">
        <w:rPr>
          <w:rFonts w:ascii="Times New Roman" w:hAnsi="Times New Roman" w:cs="Times New Roman"/>
        </w:rPr>
        <w:lastRenderedPageBreak/>
        <w:t>ricostruzione in termini di autonomia del rapporto struttura-paziente rispetto a quello paziente-medico discendono "importanti conseguenze sul piano della affermazione di responsabilità in primo luogo, ed anche sul piano della ripartizione e del contenuto degli oneri probatori. Infatti, sul piano della responsabilità, ove si ritenga sussistente un contratto di spedalità tra clinica e paziente, la responsabilità della clinica prescinde dalla responsabilità o dall'eventuale mancanza di responsabilità del medico in ordine all'esito infausto di un intervento o al sorgere di un danno che, come nel caso di specie, non ha connessione diretta con l'esito dell'intervento chirurgico. Non assume, in particolare, più rilevanza, ai fini della individuazione della natura della responsabilità della struttura sanitaria se il paziente si sia rivolto direttamente ad una struttura sanitaria del SSN, o convenzionata, oppure ad una struttura privata o se, invece, si sia rivolto ad un medico di fiducia che ha effettuato l'intervento presso una struttura privata. In tutti i predetti casi è ipotizzabile la responsabilità contrattuale dell'Ente" (cfr. predetta Cass. SS. UU.). Simile conclusione ha trovato conferma anche nella successiva giurisprudenza di legittimità, in cui si legge che il "danno da "malpractice" ripartito tra struttura e sanitario, anche in ipotesi di colpa esclusiva di quest'ultimo, salvo i casi, del tutto eccezionali, di inescusabilmente grave, del tutto imprevedibile e oggettivamente improbabile devianza da quel programma condiviso di tutela della salute: si pensi al sanitario che esegua senza plausibile ragione un intervento di cardiochirurgia fuori dalla sala operatoria dell'ospedale ..." e, ancora, "il medico opera pur sempre nel contesto dei servizi resi dalla struttura presso cui svolge l'attività, che sia stabile o saltuaria, per cui la sua condotta negligente non può essere agevolmente "isolata" dal più ampio complesso delle scelte organizzative, di politica sanitaria e di razionalizzazione dei propri servizi operate dalla struttura, di cui il medico stesso è parte integrante, mentre il già citato art. 1228, cod. civ., fonda, a sua volta, l'imputazione al debitore degli illeciti commessi dai suoi ausiliari sulla libertà del titolare dell'obbligazione di decidere come provvedere all'adempimento, accettando il rischio connesso alle modalità prescelte, secondo la struttura di responsabilità da rischio di impresa ("cuius commoda eius et incommoda") ovvero, descrittivamente, secondo la responsabilità organizzativa nell'esecuzione di prestazioni complesse ... ne consegue che, se la struttura si avvale della "collaborazione" dei sanitari persone fisiche (utilità) si trova del pari a dover rispondere dei pregiudizi da costoro eventualmente cagionati (danno): la responsabilità di chi si avvale dell'esplicazione dell'attività del terzo per l'adempimento della propria obbligazione contrattuale trova radice non già in una colpa "in eligendo" degli ausiliari o "in vigilando" circa il loro operato, bensì nel rischio connaturato all'utilizzazione dei terzi nell'adempimento dell'obbligazione (Cass., 27/03/2015, n. 6243), realizzandosi, e non potendosi obliterarsi, l'avvalimento dell'attività altrui per l'adempimento della propria obbligazione, comportante l'assunzione del rischio per i danni che al creditore ne derivino (cfr. Cass., 06/06/2014, n. 12833)" (cfr. Cass. 11/11/2019, n. 28987). Si deve evidenziare che nello statuire la responsabilità solidale della struttura e del medico, la giurisprudenza di legittimità non menziona alla circostanza che il medico sia un dipendente della struttura sanitaria oppure collabori con la stessa nella qualità di libero professionista, che in effetti non appare acquistare rilevanza ove si consideri che il criterio di imputazione della responsabilità all'ente sanitario è quello del rischio di impresa. Sempre in tema di ripartizione della responsabilità tra struttura sanitaria e medico, la giurisprudenza ha poi avuto modo di evidenziare che laddove la struttura sanitaria, correttamente evocata in giudizio dal paziente che, instaurando un rapporto contrattuale, si è sottoposto ad un intervento chirurgico all'interno della struttura stessa, sostenga che l'esclusiva responsabilità dell'accaduto non è imputabile a sue mancanze tecnico-organizzative ma esclusivamente alla imperizia del chirurgo che ha eseguito l'operazione, agendo in garanzia impropria e chiedendo di essere tenuta indenne di quanto eventualmente fosse condannata a pagare nei confronti della danneggiata, ed in regresso nei confronti del chirurgo, affinché, nei rapporti interni si accerti l'esclusiva responsabilità di questi nella causazione del danno, è sul soggetto che agisce in regresso a fronte di una responsabilità solidale che grava l'onere di provare l'esclusiva responsabilità dell'altro soggetto (cfr. Cass. 27/09/2019, n. 24167).</w:t>
      </w:r>
    </w:p>
    <w:p w14:paraId="1466117C"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1.E. RICOSTRUZIONE IN FATTO</w:t>
      </w:r>
    </w:p>
    <w:p w14:paraId="2AB96FC1"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 xml:space="preserve">Nel caso di specie è documentalmente provato che M.F., in data 05/06/2009, sia stata accettata presso la struttura sanitaria "C.C.V." e ivi ricoverata presso il reparto di ortopedia in regime di "day hospital" ove è stata sottoposta alla procedura di "asportazione di borsite con correzione dei tessuti molli ed osteotomia del primo metatarso" con esecuzione di "osteotomia tipo K.", da parte di V.B. quale primo chirurgo (v. docc. 2, 3 e 6 fascicolo di parte attrice). Deve dunque ritenersi provato la sussistenza con V.F. di un rapporto di spedalità e </w:t>
      </w:r>
      <w:r w:rsidRPr="00416F30">
        <w:rPr>
          <w:rFonts w:ascii="Times New Roman" w:hAnsi="Times New Roman" w:cs="Times New Roman"/>
        </w:rPr>
        <w:lastRenderedPageBreak/>
        <w:t>con V.B. di un rapporto di natura contrattuale. Dall'esame della cartella clinica risulta che tutta la documentazione in essa inserita (compreso il modulo relativo al consenso informato) riporta l'intestazione "C.C.V." e che la stessa ha messo a disposizione non solo i locali dove l'intervento chirurgico è stato eseguito (come invece si legge nel passaggio della sentenza del Tribunale di Prato citata della convenuta, che dunque non risulta attagliarsi al caso di specie), ma anche la strumentazione e gli altri operatori intervenuti nel corso dell'intervento (nella cartella clinica si legge della presenza dei seguenti ulteriori professionisti "altri chirurghi B.R. ... Anestesisti T.P. ... Strumentisti I.R. ... Infermieri S.S.L." - v. doc. 6 fascicolo di parte attrice). Alla luce dei principi di diritto innanzi richiamati non può dunque essere condivisa la ricostruzione di parte convenuta secondo cui la circostanza che V.B. collaborasse con la C.C.V. in qualità di medico libero professionista permetterebbe a quest'ultima di andare esente da responsabilità.</w:t>
      </w:r>
    </w:p>
    <w:p w14:paraId="27011150"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Ciò detto la CTU nominata nel presente procedimento, confermando le conclusioni già raggiunte dal consulente di ufficio nel corso del procedimento di A.T.P., ha verificato che "l'intervento praticato, e precisamene la osteotomia di K., risulta essere stato di portata maggiore rispetto alle esigenze cliniche della paziente, in quanto nel caso specifico" l'attrice non sarebbe stata affetta da "alluce valgo", ma da "alluce rigido", anatomicamente meno compromesso rispetto alla condizione di valgismo", concludendo che "il trattamento prescelto, pur essendo astrattamente adeguato, risulta essere stato eccessivo rispetto al caso specifico". Simili conclusioni, in quanto non oggetto di contestazione da alcuna delle parti, risultano pienamente condivisibili dalla scrivente giudicante.</w:t>
      </w:r>
    </w:p>
    <w:p w14:paraId="6F01E780"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Deve pertanto ritenersi provato l'inadempimento sia di V.B. che di V.F. per l'esecuzione di un trattamento esorbitante dalle necessità terapeutiche di M.F.. Deve escludersi che V.F. possa andare esente da responsabilità non avendo la stessa provato, ma neppure allegato specificamente, l'imprevedibilità della "malpractice" medica.</w:t>
      </w:r>
    </w:p>
    <w:p w14:paraId="371B179B"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Quanto, poi, all'inadempimento contestato dalla parte attrice in merito alla non corretta tenuta della cartella clinica, nella relazione redatta dal consulente d'ufficio nominato nel procedimento di ATP svoltosi anteriormente al presente procedimento, si legge che "il ricovero ospedaliero presenta molteplici lacune circa la tenuta della relativa cartella clinica perché in più punti contrastante e in altre carente di annotazioni". È ben vero che detta relazione tecnica non risulta opponibile nei confronti di V.F., che non è stata evoca nel predetto giudizio di istruzione preventiva, ma le notazioni del consulente ben posso essere considerate nei confronti della convenuta alla stregua di una perizia di parte ovvero delle mere allegazioni di natura tecnica. Considerata la natura contrattuale del rapporto in essere tra l'attrice e la casa di cura, in base agli oramai granitici principi di ripartizione dell'onere probatorio elaborati dalla giurisprudenza di legittimità, a fronte di una tale contestazione sarebbe stato onere della parte convenuta dimostrare di aver correttamente adempiuto all'obbligazione sulla stessa gravante. Onere probatorio che, nel caso di specie, non risulta essere stato soddisfatto, essendosi la parte convenuta limitata ad allegare la corretta tenuta della cartella clinica.</w:t>
      </w:r>
    </w:p>
    <w:p w14:paraId="256563C3"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1.F. SUI DANNI RISARICIBILI E SULLA LIQUIDAZIONE DEL DANNO</w:t>
      </w:r>
    </w:p>
    <w:p w14:paraId="3DB0EA22"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La parte attrice ha chiesto il risarcimento, sia nei confronti di V.B. che di V.F., delle seguenti voci di danno: 1) il danno patrimoniale consistente nelle spese mediche documentate in sede di ATP e di quelle conseguenti all'intervento di cui è causa nonché, nei soli confronti di V.F., delle spese mediche sostenute per il ricovero presso la casa di cura, per la complessiva somma di Euro 40.000,00; 2) il danno non patrimoniale dovuto al peggioramento della qualità della vita e nel peggioramento psico-fisico conseguito all'intervento, quantificato in Euro 10.132,50; 3) il risarcimento del danno da perdita di chance.</w:t>
      </w:r>
    </w:p>
    <w:p w14:paraId="47130054"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La domanda risarcitoria è fondata esclusivamente nei limiti di seguito specificati.</w:t>
      </w:r>
    </w:p>
    <w:p w14:paraId="3F007886"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 xml:space="preserve">Non può essere accolta la domanda avente ad oggetto il pregiudizio patrimoniale, in quanto priva di riscontro probatorio. La parte attrice non ha infatti prodotto alcuna delle ricevute e delle fatture menzionate dal CTU nel proprio elaborato peritale, né tanto meno ha documentato l'ammontare delle spese mediche sostenute nel corso del ricovero. Inoltre, come evidenziato dalla parte convenuta, le ricevute emesse dal dott. C.C. per "certificazione ad uso ass.vo" parrebbero tutte avere una data (ovvero 07/11/2008, 09/12/2008, 10/02/2009, 10/04/2009 e 16/06/2009) anteriore a quella in cui è stato svolto l'intervento operatorio (ovvero il 05/06/2009). </w:t>
      </w:r>
      <w:r w:rsidRPr="00416F30">
        <w:rPr>
          <w:rFonts w:ascii="Times New Roman" w:hAnsi="Times New Roman" w:cs="Times New Roman"/>
        </w:rPr>
        <w:lastRenderedPageBreak/>
        <w:t>Quanto, poi, all'asserita spesa di Euro 30.000,00 per l'operazione chirurgica asseritamente necessitata in conseguenza dell'intervento per cui è causa, la consulenza tecnica espletata ha escluso la necessità per l'attrice di protesi o di effettuare ulteriori terapie.</w:t>
      </w:r>
    </w:p>
    <w:p w14:paraId="101C76A3"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Parimenti non può trovare accoglimento la domanda volta ad ottenere il risarcimento del danno da c.d. perdita da chance, non avendo la parte attrice non solo fornito prova del danno allegato, ma invero neanche avendo allegato nello specifico quale sarebbero le opportunità che l'inadempimento dei convenuti le avrebbero precluso.</w:t>
      </w:r>
    </w:p>
    <w:p w14:paraId="2F000968"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Quanto, invece, al danno non patrimoniale, la consulenza effettuata nel corso del presente procedimento nel contraddittorio di tutte le parti costituite ha escluso la sussistenza allo stato attuale di "postumi diversi da quelli normalmente ricollegabili ad un trattamento più idoneo e meno invasivo" e che "la cicatrice chirurgica non determina alcun impegno disfunzionale né danno estetico", limitandosi a rilevare come l'effettuazione della osteotomia di K. (invece di un trattamento operatorio meno invasivo) ha comportato esclusivamente un "danno biologico differenziale, rapportato alla prognosi più prolungata rispetto a quella riferibile ad un intervento meno invasivo, ... computabile per 10 gg al 75%, 10 gg. al 50% e 10 gg. al 25%": conclusioni che non sono state oggetto di osservazione parte dei consulenti di parte. Le contestazioni sollevate dalla parte attrice nella propria comparsa conclusionale (in cui si legge che le conclusioni del CTU sarebbero "discutibili" in ragione dell'attuale stato psico-fisico dell'attrice, che - in quanto affetta da morbo di Alzheimer - non avrebbe una percezione del dolore paragonabile ad una persona che non soffre di alcun disturbo) devono ritenersi inammissibili per i seguenti motivi. È ben vero che la Corte di Cassazione nella pronuncia a sezioni unite n. 5624 del 21/02/2022 ha riconosciuto la possibilità di svolgere per la prima volta in sede di comparsa conclusionale critiche al contenuto della consulenza tecnica d'ufficio; l'ampiezza di tale facoltà deve tuttavia essere correttamente dimensionata alla luce delle finalità proprie dell'atto processuale in parola. Come evidenziato dalla predetta pronuncia di legittimità, "...l'art. 190 c.p.c., comma 2, nel prescrivere che le comparse conclusionali devono contenere le sole conclusioni già precisate dinanzi al giudice istruttore e il compiuto svolgimento delle ragioni di fatto e di diritto su cui si fondano, mira ad assicurare che non sia alterato, nella fase decisionale del procedimento, in pregiudizio dei diritti di difesa della controparte, l'ambito obiettivo della controversia, quale precisato nella fase istruttoria. Tale norma non impedisce, pertanto, che la parte, senza apportare alcuna aggiunta o modifica alle conclusioni precisate in precedenza, e, soprattutto, senza addurre nuovi fatti, esponga, nella comparsa conclusionale, una nuova ragione giustificativa della domanda o delle eccezioni rivolte al giudice adito, basate su fatti in precedenza accertati o su acquisizioni processuali mai oggetto di contestazione tra le parti". Orbene nel caso di specie la questione inerente la possibilità che la condizione patologica di cui l'attrice è attualmente affetta incida sulla percezione del dolore rappresenta un fatto nuovo, mai affrontato né sollevato in precedenza.</w:t>
      </w:r>
    </w:p>
    <w:p w14:paraId="2F75AB7B"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Passando quindi alla liquidazione del danno risarcibile, si deve in primo rilevare che secondo la giurisprudenza di legittimità le norme contenute nella L. n. 189 del 2012 e L. n. 24 del 2017 che richiamo gli artt. 138 e 139 D.Lgs. n. 209 del 2005 in punto di liquidazione del danno, sono di immediata applicazione anche ai fatti pregressi (cfr. citata Cass. 11/11/2019, n. 28994).</w:t>
      </w:r>
    </w:p>
    <w:p w14:paraId="50405936"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Ciò detto, in base ai valori giornalieri sanciti dal citato art. 139, c. 1, lett. b) e dall'ultimo decreto del Ministero dello sviluppo economico del 08/06/2022 di aggiornamento degli importi dei danni di lieve entità alla persona (c.d. micropermanenti) può essere riconosciuto l'importo di Euro 380,93 per dieci giorni di inabilità temporanea parziale al 75%, Euro 253,95 per dieci giorni di inabilità temporanea parziale al 50% ed Euro 126,98 per dieci giorni di inabilità temporanea parziale al 25%, per un importo complessivo di Euro 761,86. Su tale somma non può essere riconosciuta alcuna "personalizzazione" in aumento, non avendo l'attrice provato quelle circostanze asseritamente eccezionali che renderebbero il danno biologico dalla stessa patito come diverso e maggiore rispetto a casi consimili.</w:t>
      </w:r>
    </w:p>
    <w:p w14:paraId="4FAB4A0D"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 xml:space="preserve">L'importo in valore attuale dovuto di titolo di danno non patrimoniale (Euro 761,86) deve quindi essere devalutato al mese di giugno 2009 (data dell'inadempimento sinistro). La somma devalutata ammonta ad Euro 587,40 e sulla stessa sono dovuti gli interessi a titolo di risarcimento del danno da lucro cessante consistente nella perdita dei frutti che il danneggiato avrebbe potuto trarre se questa fosse stata tempestivamente </w:t>
      </w:r>
      <w:r w:rsidRPr="00416F30">
        <w:rPr>
          <w:rFonts w:ascii="Times New Roman" w:hAnsi="Times New Roman" w:cs="Times New Roman"/>
        </w:rPr>
        <w:lastRenderedPageBreak/>
        <w:t>corrisposta nonché quello da svalutazione monetaria: tali domande, anche se non espressamente statuite, devono ritenersi implicitamente inclusa nella domanda di risarcimento del danno (cfr. Cass. 18/02/2022, n. 5317).</w:t>
      </w:r>
    </w:p>
    <w:p w14:paraId="7944C1F7"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Il predetto danno può essere calcolato applicando gli interessi, nella misura, ritenuta congrua, del tasso legale (secondo le variazioni via via intervenute), sul capitale rivalutato di anno in anno, secondo i noti coefficienti ISTAT, pari a complessivi Euro 876,14.</w:t>
      </w:r>
    </w:p>
    <w:p w14:paraId="5DD21A7D"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Conclusivamente V.B. e V.F. devono essere condannate in solido a rifondere nei confronti di M.F., a titolo di risarcimento del danno, la somma di Euro 876,14, oltre interessi legali dalla data della pubblicazione della presente pronuncia sino al soddisfo.</w:t>
      </w:r>
    </w:p>
    <w:p w14:paraId="604F0DB1"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2. NEL MERITO DELLA DOMANDA IN MATERIA DI CONSENSO INFORMATO</w:t>
      </w:r>
    </w:p>
    <w:p w14:paraId="53CD28CD"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2.1. LA DOMANDA ATTRICE</w:t>
      </w:r>
    </w:p>
    <w:p w14:paraId="00A310BA"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Come già anticipato nella narrazione dello svolgimento del procedimento, la parte attrice ha agito nei confronti dei convenuti per essere risarcita del danno asseritamente conseguente alla mancata prestazione di un valido consenso informato in relazione all'operazione chirurgica eseguita dal B. presso la struttura V.F. in data 05/06/2009 all'alluce del piede sinistro. In particolare M.F. deduce di non essere stata correttamente edotta in merito alla tecnica operatoria che sarebbe stata adottata e ai rischi e benefici della stessa e di essere stata sottoposta ad una operazione differente rispetto a quella per cui la paziente aveva prestato il proprio consenso per iscritto, con conseguente lesione sia del proprio diritto all'autodeterminazione che di quello alla salute ed all'integrità fisica.</w:t>
      </w:r>
    </w:p>
    <w:p w14:paraId="0AC5514B"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2.2. LA DISCIPLINA APPLICABILE</w:t>
      </w:r>
    </w:p>
    <w:p w14:paraId="4ECC53AF"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In punto di diritto, nell'ordinamento giuridico italiano il principio del consenso informato trova fondamento costituzionale nell'art. 32, c. 2 Cost. in base al quale "nessuno può essere obbligato a un determinato trattamento sanitario se non per disposizione di legge. La legge non può in nessun caso violare i limiti imposti dal rispetto della persona umana". Tale disposizione si raccorda con l'art. 13 Cost., che garantisce l'inviolabilità della libertà personale (intesa anche come libertà di decidere in ordine alla propria salute ed al proprio corpo), e con l'art. 2 Cost., che tutela i diritti inviolabili di cui l'umo è titolare sia come singolo che come membro delle formazioni sociali tramite le quali si esprime la propria personalità. Da tale contesto normativo emerge, dunque, l'esistenza di un diritto costituzionalmente garantito dell'individuo a non subire trattamenti sanitari ai quali non abbia preventivamente e consapevolmente acconsentito.</w:t>
      </w:r>
    </w:p>
    <w:p w14:paraId="0FB330B7"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L'esistenza di un simile diritto è stata confermata anche dalla legislazione di livello primario. In primo luogo dall'art. 33 L. 23 dicembre 1978, n. 833, che vieta al medico di eseguire trattamenti sanitari contro la volontà del paziente, a meno che questi non sia in grado di prestare in modo consapevole il proprio consenso e ricorrano i presupposti dello stato di necessità. Quindi dalla Convezione sui diritti dell'uomo e sulla biomedicina del 04/04/1997 (c.d. Convenzione di Oviedo), ratificata in Italia con la L. 28 marzo 2001, n. 145, alla stregua della quale "un trattamento sanitario può essere praticato solo se la persona interessata abbia prestato il proprio consenso libero ed informato" (cfr. art. 5 Conv. cit.).</w:t>
      </w:r>
    </w:p>
    <w:p w14:paraId="686086E3"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Infine, l'art. 3 della Carta dei diritti fondamentali dell'Unione europea recita che "ogni individuo ha diritto alla propria integrità fisica e psichica", prevedendo che "nell'ambito della medicina e della biologia debbano essere in particolare rispettati: il consenso libero e informato della persona interessata, secondo le modalità definite dalla legge".</w:t>
      </w:r>
    </w:p>
    <w:p w14:paraId="5A23AB53"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La prestazione del consenso informato è prevista e regolata anche dal Codice di deontologia medica del 2014 il quale, all'art. 35, sancisce l'obbligo per il medico di acquisire il consenso del paziente e, conseguentemente, il divieto di "intraprendere o proseguire in procedure diagnostiche e/o interventi terapeutici senza la preliminare acquisizione del consenso informato o in presenza di dissenso informato".</w:t>
      </w:r>
    </w:p>
    <w:p w14:paraId="25706878"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lastRenderedPageBreak/>
        <w:t>Al diritto all'autodeterminazione corrisponde l'obbligo del medico (di fonte contrattuale o ex lege da c.d. "contatto sociale") di fornire informazioni dettagliate al fine di rendere il paziente consapevole della natura dell'intervento medico e/o chirurgico, della sua portata ed estensione, dei suoi rischi, dei risultati conseguibili e delle possibili conseguenze negative. Non risulta infatti idonea all'adempimento del predetto obbligo la sottoscrizione da parte del paziente di un modulo del tutto generico, né rilevando, ai fini della completezza ed effettività del consenso, la qualità del paziente, che incide unicamente sulle modalità dell'informazione, da adattarsi al suo livello culturale mediante un linguaggio a lui comprensibile, secondo il suo stato soggettivo ed il grado delle conoscenze specifiche di cui dispone (cfr., da ultimo, Cass. 11/11/2019, n. 28985).</w:t>
      </w:r>
    </w:p>
    <w:p w14:paraId="64648AD9"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L'esistenza di tale obbligo informativo è stato da ultimo sancito anche a livello normativo nella L. 22 dicembre 2017, n. 219 (seppur non applicabile al caso di specie ratione temporis), in base alla quale "ogni persona ha il diritto di conoscere le proprie condizioni di salute e di essere informata in modo completo, aggiornato e a lei comprensibile riguardo alla diagnosi, alla prognosi, ai benefici e ai rischi degli accertamenti diagnostici e dei trattamenti sanitari indicati, nonché riguardo alle possibili alternative e alle conseguenze dell'eventuale rifiuto del trattamento sanitario e dell'accertamento diagnostico o della rinuncia ai medesimi. Può rifiutare in tutto o in parte di ricevere le informazioni ovvero indicare i familiari o una persona di sua fiducia incaricati di riceverle e di esprimere il consenso in sua vece se il paziente lo vuole".</w:t>
      </w:r>
    </w:p>
    <w:p w14:paraId="002F9D13"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La giurisprudenza di legittimità ha inoltre precisato che "l'acquisizione del consenso informato del paziente, da parte del sanitario, costituisce prestazione altra e diversa rispetto a quella avente ad oggetto l'intervento terapeutico e si pone come strumentale rispetto a questa, sicché anche per essa la struttura sanitaria risponde a titolo contrattuale dei danni patiti dal paziente, per fatto proprio, ex art. 1218 c.c., ove tali danni siano dipesi dall'inadeguatezza della struttura, ovvero per fatto altrui, ex art. 1228 c.c., ove siano dipesi dalla colpa dei sanitari di cui l'ospedale si avvale, e ciò anche quando l'operatore non sia un suo dipendente" (cfr. Cass. 17/01/2019, n. 1043).</w:t>
      </w:r>
    </w:p>
    <w:p w14:paraId="3DA98724" w14:textId="77777777" w:rsidR="00163C54" w:rsidRPr="00416F30" w:rsidRDefault="00163C54" w:rsidP="00163C54">
      <w:pPr>
        <w:jc w:val="both"/>
        <w:rPr>
          <w:rFonts w:ascii="Times New Roman" w:hAnsi="Times New Roman" w:cs="Times New Roman"/>
          <w:lang w:val="en-GB"/>
        </w:rPr>
      </w:pPr>
      <w:r w:rsidRPr="00416F30">
        <w:rPr>
          <w:rFonts w:ascii="Times New Roman" w:hAnsi="Times New Roman" w:cs="Times New Roman"/>
        </w:rPr>
        <w:t xml:space="preserve">Alla condotta illecita da omessa informazione la giurisprudenza ha riconosciuto una astratta capacità plurioffensiva, sia al diritto all'autodeterminazione che al diritto all'integrità fisica, laddove sia fornita la prova che dalla lesione di tali diritti siano derivante specifiche conseguenze dannose. In particolare, secondo l'oramai consolidato orientamento giurisprudenziale, il danno alla salute è ritenuto risarcibile ove "sia ragionevole ritenere che il paziente - sul quale grava il relativo onere probatorio - se correttamente informato, avrebbe rifiutato di sottoporsi all'intervento (onde non subirne le conseguenze invalidanti)"; il danno da lesione del diritto all'autodeterminazione è ritenuto risarcibile qualora "a causa del deficit informativo, il paziente abbia subito un pregiudizio, patrimoniale oppure non patrimoniale (ed, in tale ultimo caso, di apprezzabile gravità), diverso dalla lesione del diritto alla salute", pregiudizio che deve essere debitamente allegato dal paziente (Cass. 11/11/2019, n. 28985. </w:t>
      </w:r>
      <w:r w:rsidRPr="00416F30">
        <w:rPr>
          <w:rFonts w:ascii="Times New Roman" w:hAnsi="Times New Roman" w:cs="Times New Roman"/>
          <w:lang w:val="en-GB"/>
        </w:rPr>
        <w:t>Cfr. anche Cass. 23/03/2021, n. 8163; Cass. 9/2/2010, n. 2847; Cass. 16/2/2016, n. 2998; Cass. 14/11/2017, n. 26827).</w:t>
      </w:r>
    </w:p>
    <w:p w14:paraId="2BB2547C"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2.3. L'INADEMPIMENTO</w:t>
      </w:r>
    </w:p>
    <w:p w14:paraId="735FEA31"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Nel caso di specie risulta in atti un consenso informativo sottoscritto sia dalla ricorrente che da dott. B.. Detto consenso risulta tuttavia raccolto su un modulo prestampato del tutto generico in quanto privo della data, della diagnosi, della metodica dell'intervento e delle probabilità di successo, in cui la ricorrente si limita a dare atto in maniera aspecifica di essere stata informata "sulle condizioni cliniche e sulla necessità di essere sottoposto all'intervento chirurgico di asportazione dell'iperosteosi dell'alluce sinistro" (dicitura impropria, come evidenziato dal CTU nominato nel procedimento di ATP - v. doc. 10, pag. 11 fascicolo di parte ricorrente) e "sulle complicanze chirurgiche e postchirurgiche elencate secondo un ordine non specificato nel modulo stesso, o comunque legate alla patologia di origine, con le loro possibili incidenze percentuali, secondo statistiche internazionali e la nostra personale esperienza ..." e di acconsentire a che il "Dottore, qualora fosse necessario" avrebbe potuto apportare "secondo scienza e coscienza per il raggiungimento del miglior risultato terapeutico della salute", senza tuttavia specificare quali modifiche avrebbero potuto essere apportate. Si deve pertanto escludere che il paziente, anche in base alla sola lettura del modulo in esame, possa avere compreso effettivamente le modalità ed i rischi connessi all'intervento, in modo da esercitare consapevolmente il proprio diritto di autodeterminarsi. Né tanto meno i convenuti hanno provato di aver fornito le informazioni mancanti.</w:t>
      </w:r>
    </w:p>
    <w:p w14:paraId="41A84F24"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lastRenderedPageBreak/>
        <w:t>2.4. I DANNI</w:t>
      </w:r>
    </w:p>
    <w:p w14:paraId="70F0DCEF"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La domanda risarcitoria di parte attrice non può essere accolta non avendo la stessa provato - ma invero nemmeno allegato - quale sarebbe il "danno conseguenza" causato dal "danno evento" consistente nella lesione del diritto all'autodeterminazione. La ricorrente, nell'illustrare i danni non patrimoniali di cui chiede il risarcimento, si limita infatti a fare riferimento al solo danno biologico "differenziale", pari alla differenza tra i postumi accertati dall'ausiliario nel procedimento di ATP e quelli che verosimilmente sarebbero residuati qualora fosse stata effettuata un'operazione meno invasiva (di quattro punti percentuali di invalidità permanente, quindici giorni di invalidità temporanea totale e quindici giorni di invalidità temporanea al 50%), non deducendo alcuna specifica conseguenza dannosa derivante dalla lesione del diritto all'autodeterminazione.</w:t>
      </w:r>
    </w:p>
    <w:p w14:paraId="6358BA41"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Deve essere rigettata anche la domanda di risarcimento del danno alla salute asseritamente conseguente all'esecuzione dell'intervento in assenza di un "espresso consenso informato", mancando agli atti la prova della diversa determinazione che la ricorrente avrebbe assunto in ordine al trattamento sanitario cui è stata sottoposta, come invece era preciso onere della stessa provare alla stregua dei principi di diritto innanzi richiamati. Anzi dalle emergenze probatorie acquisire agli atti è addirittura emerso che F. avesse concordato con B. l'esecuzione dell'osteotomia K., come risulta dalle dichiarazioni rese dal testimone di parte ricorrente, il sig. C.G. (v. verbale udienza del 17/04/2018).</w:t>
      </w:r>
    </w:p>
    <w:p w14:paraId="5DEE2C26"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3. NEL MERITO DELLA DOMANDA NEI CONFRONTI DI V.F. CIRCA LA CORRETTA TENUTA DELLA CARTELLA CLINICA</w:t>
      </w:r>
    </w:p>
    <w:p w14:paraId="15209429"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Parte attrice ha contestato nei confronti di V.F. la negligente tenuta della cartella clinica.</w:t>
      </w:r>
    </w:p>
    <w:p w14:paraId="1DE0A105"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La domanda deve essere accolta in quanto fondata.</w:t>
      </w:r>
    </w:p>
    <w:p w14:paraId="4D8DF22A"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Nella relazione redatta dal consulente d'ufficio nominato nel procedimento di ATP si legge che "il ricovero ospedaliero presenta molteplici lacune circa la tenuta della relativa cartella clinica perché in più punti contrastante e in altre carente di annotazioni". È ben vero che la relazione tecnica redatta all'esito del procedimento di ATP non è opponibile nei confronti di V.F. non essendo quest'ultima stata chiamata a prendervi parte; le notazioni del consulente tecnico, tuttavia, ben posso essere considerate nei confronti della convenuta alla stregua di allegazioni di natura tecnica.</w:t>
      </w:r>
    </w:p>
    <w:p w14:paraId="59901BAF"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Considerata la natura contrattuale del rapporto in essere tra l'attrice e la casa di cura (si veda la ricostruzione in diritto di cui al paragrafo sub n. (...)) e in base agli oramai granitici principi di ripartizione dell'onere probatorio elaborati dalla giurisprudenza di legittimità, a fronte di una tale contestazione sarebbe stato onere della parte convenuta dimostrare di aver correttamente adempiuto all'obbligazione sulla stessa gravante.</w:t>
      </w:r>
    </w:p>
    <w:p w14:paraId="0882EE08"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Onere probatorio che, nel caso di specie, non risulta essere stato soddisfatto, essendosi la parte convenuta limitata ad allegare la corretta tenuta della cartella clinica. Al contrario, dall'esame della cartella clinica emerge che la scheda di anamnesi (su cui risulta apposto esclusivamente il timbro "C.C.V.) è compilata solo nel paragrafo relativo all'anamnesi patologica, dove si legge la dicitura "alluce valgo sx. ...". Simile diagnosi figura anche nella scheda di dimissione ospedaliera (sottoscritta sia dal convenuto B. che dal responsabile dell'U.O. Ortopedia) e nella scheda di descrizione dell'intervento; nella "scheda di accettazione sanitaria" l'ipotesi diagnostica è invece di "alluce rigido a sx". Ipotesi diagnostica, quest'ultima, che è stata ritenuta più corretta da parte del CTU nominato nel presente procedimento.</w:t>
      </w:r>
    </w:p>
    <w:p w14:paraId="21F25A23"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Accertato l'inadempimento e considerato che dalle consulenze espletate emerge che l'osteotomia di K. è un intervento raccomandato per la più grave ipotesi patologica di "alluce valgo", allo scrivente giudicante appare verosimile (e dunque sufficiente a soddisfare lo standard probatorio del "più probabile che non") che la imprecisa tenuta della cartella clinica abbia causalmente contribuito all'effettuazione di un intervento di portata maggiore rispetto alle esigenze cliniche della paziente.</w:t>
      </w:r>
    </w:p>
    <w:p w14:paraId="6978B127"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Anche per tale ragione i danni liquidati al paragrafo 1.F. devono essere solidamente posti a carico anche della convenuta V.F..</w:t>
      </w:r>
    </w:p>
    <w:p w14:paraId="56310719"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lastRenderedPageBreak/>
        <w:t>Non possono essere riconosciute le altre voci di danno per le ragioni già illustrate nel richiamato paragrafo sub 1.F. Parimenti non può essere accolta la domanda volta ad ottenere il risarcimento delle spese mediche per il ricovero sostenute dalla ricorrente, di cui quest'ultima non ha fornito alcuna prova.</w:t>
      </w:r>
    </w:p>
    <w:p w14:paraId="31EA336F"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4. SULLA DOMANDA FORMULATA DA V.F. NEI CONFRONTI DELLA TERZA CHIAMATA La terza chiamata ha chiesto la dichiarazione della cessazione della materia del contendere, con compensazione delle spese di lite, con riferimento alla domanda di manleva formulata nei suoi confronti da parte di V.F., in ragione della rinuncia agli atti del giudizio formulata da quest'ultima parte convenuta ed avendo le due parti espressamente pattuito la compensazione delle spese di lite.</w:t>
      </w:r>
    </w:p>
    <w:p w14:paraId="00C3EBA4"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Dalla documentazione allegata alla nota depositata dalla parte chiamata in data 16/05/2022 risulta che l'avv. Matteo Cecconi per parte di V.F. (già munito del potere di rinunciare agli atti) ha rinunciato agli atti relativi alla domanda di manleva, con spese integralmente com</w:t>
      </w:r>
      <w:r w:rsidR="00416F30">
        <w:rPr>
          <w:rFonts w:ascii="Times New Roman" w:hAnsi="Times New Roman" w:cs="Times New Roman"/>
        </w:rPr>
        <w:t>pensate e che gli avv.ti S.</w:t>
      </w:r>
      <w:r w:rsidRPr="00416F30">
        <w:rPr>
          <w:rFonts w:ascii="Times New Roman" w:hAnsi="Times New Roman" w:cs="Times New Roman"/>
        </w:rPr>
        <w:t>T</w:t>
      </w:r>
      <w:r w:rsidR="00416F30">
        <w:rPr>
          <w:rFonts w:ascii="Times New Roman" w:hAnsi="Times New Roman" w:cs="Times New Roman"/>
        </w:rPr>
        <w:t>.</w:t>
      </w:r>
      <w:r w:rsidRPr="00416F30">
        <w:rPr>
          <w:rFonts w:ascii="Times New Roman" w:hAnsi="Times New Roman" w:cs="Times New Roman"/>
        </w:rPr>
        <w:t xml:space="preserve"> e M</w:t>
      </w:r>
      <w:r w:rsidR="00416F30">
        <w:rPr>
          <w:rFonts w:ascii="Times New Roman" w:hAnsi="Times New Roman" w:cs="Times New Roman"/>
        </w:rPr>
        <w:t>.</w:t>
      </w:r>
      <w:r w:rsidRPr="00416F30">
        <w:rPr>
          <w:rFonts w:ascii="Times New Roman" w:hAnsi="Times New Roman" w:cs="Times New Roman"/>
        </w:rPr>
        <w:t>H</w:t>
      </w:r>
      <w:r w:rsidR="00416F30">
        <w:rPr>
          <w:rFonts w:ascii="Times New Roman" w:hAnsi="Times New Roman" w:cs="Times New Roman"/>
        </w:rPr>
        <w:t>.</w:t>
      </w:r>
      <w:r w:rsidRPr="00416F30">
        <w:rPr>
          <w:rFonts w:ascii="Times New Roman" w:hAnsi="Times New Roman" w:cs="Times New Roman"/>
        </w:rPr>
        <w:t xml:space="preserve"> (anche loro debitamente muniti del potere di accettare la rinuncia agli atti) hanno accettato detta rinuncia con la proposta di compensazione integrale delle spese.</w:t>
      </w:r>
    </w:p>
    <w:p w14:paraId="77339C89"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Considerato che l'art. 306 c.p.c. prevede che in caso di rinuncia agli atti del giudizio il procedimento si estingua (non ricorrendo invece una ipotesi di cessazione della materia del contendere), deve dichiararsi estinto il procedimento relativamente alla domanda di manleva proposta da V.F. nei confronti di A.E. Ltd.</w:t>
      </w:r>
    </w:p>
    <w:p w14:paraId="12092930"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5. SPESE DI LITE</w:t>
      </w:r>
    </w:p>
    <w:p w14:paraId="047DC75F"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Considerato che le domande di parte attrice sono state accolte solo in minima parte rispetto a quelle inizialmente formulate e, dunque, la reciproca soccombenza tra la parte attrice e le parti convenute, le spese di lite del presente giudizio essere integralmente compensate tra dette parti.</w:t>
      </w:r>
    </w:p>
    <w:p w14:paraId="68562C13"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Per le medesime ragioni devono essere integralmente compensate tra M.F. e V.B. le spese di lite relative al procedimento di ATP.</w:t>
      </w:r>
    </w:p>
    <w:p w14:paraId="4CE5C751"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In adesione a quanto concordato tra V.F. e A. devono essere compensate tra tali due parti le spese di lite relative alla domanda di manleva proposta dalla prima nei confronti della seconda.</w:t>
      </w:r>
    </w:p>
    <w:p w14:paraId="261C5647"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Sempre per le ragioni innanzi richiamate il compenso del CTU nominato nel procedimento di ATP deve integralmente compensato tra M.F. e V.B..</w:t>
      </w:r>
    </w:p>
    <w:p w14:paraId="2826B231"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Parimenti, anche il compenso del CTU nominato nel presente procedimento - come liquidato nel decreto del 12/09/2023 - deve essere integralmente compensato tra le parti del presente giudizio.</w:t>
      </w:r>
    </w:p>
    <w:p w14:paraId="6F8ED7D1" w14:textId="77777777" w:rsidR="00163C54" w:rsidRPr="00416F30" w:rsidRDefault="00163C54" w:rsidP="00163C54">
      <w:pPr>
        <w:jc w:val="both"/>
        <w:rPr>
          <w:rFonts w:ascii="Times New Roman" w:hAnsi="Times New Roman" w:cs="Times New Roman"/>
          <w:b/>
          <w:bCs/>
        </w:rPr>
      </w:pPr>
      <w:r w:rsidRPr="00416F30">
        <w:rPr>
          <w:rFonts w:ascii="Times New Roman" w:hAnsi="Times New Roman" w:cs="Times New Roman"/>
          <w:b/>
          <w:bCs/>
        </w:rPr>
        <w:t>P.Q.M.</w:t>
      </w:r>
    </w:p>
    <w:p w14:paraId="55FA5AD8"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Il Tribunale di Prato, in composizione monocratica, definitivamente pronunciando sulla causa pendente tra M.F., V.B., V.F.H. S.r.l. e A.E. Ltd., ogni altra istanza, difesa ed eccezione disattesa, così provvede:</w:t>
      </w:r>
    </w:p>
    <w:p w14:paraId="007BFC4B"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1) accoglie parzialmente le domande di M.F. aventi ad oggetto l'esecuzione nei suoi confronti di un intervento inopportuno ed esorbitante le proprie necessità terapeutiche e la negligente gestione documentale dell'attività sanitaria e, per l'effetto, condanna V.B. e V.F.H. S.r.l. in solido fra di loro al risarcimento del danno liquidato in Euro 876,14, oltre interessi legali dalla data della pubblicazione della presente pronuncia sino al soddisfo;</w:t>
      </w:r>
    </w:p>
    <w:p w14:paraId="2F8A8B56"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2) rigetta le restanti domande di parte attrice;</w:t>
      </w:r>
    </w:p>
    <w:p w14:paraId="71101DA9"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3) dichiara l'estinzione del procedimento limitatamente alla domanda di manleva formulata dalla V.F.H. s.r.l. nei confronti di A.E. Ltd.;</w:t>
      </w:r>
    </w:p>
    <w:p w14:paraId="124EC350"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4) compensa integralmente tra le parti le spese di lite del presente giudizio nonché il compenso del CTU, come liquidato con decreto del 12/09/2023;</w:t>
      </w:r>
    </w:p>
    <w:p w14:paraId="72A786F0"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5) compensa integralmente tra M.F. e V.B. le spese di lite del procedimento di ATP n. R.G. 2702/2012 e il compenso relativo al CTU nominato in detto procedimento;</w:t>
      </w:r>
    </w:p>
    <w:p w14:paraId="1FF08BD7"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lastRenderedPageBreak/>
        <w:t>6) compensa integralmente le spese di lite tra V.F.H. s.r.l. e A.E. Ltd.</w:t>
      </w:r>
    </w:p>
    <w:p w14:paraId="6A318B3F" w14:textId="77777777" w:rsidR="00163C54" w:rsidRPr="00416F30" w:rsidRDefault="00163C54" w:rsidP="00163C54">
      <w:pPr>
        <w:jc w:val="both"/>
        <w:rPr>
          <w:rFonts w:ascii="Times New Roman" w:hAnsi="Times New Roman" w:cs="Times New Roman"/>
          <w:b/>
          <w:bCs/>
        </w:rPr>
      </w:pPr>
      <w:r w:rsidRPr="00416F30">
        <w:rPr>
          <w:rFonts w:ascii="Times New Roman" w:hAnsi="Times New Roman" w:cs="Times New Roman"/>
          <w:b/>
          <w:bCs/>
        </w:rPr>
        <w:t>Conclusione</w:t>
      </w:r>
    </w:p>
    <w:p w14:paraId="09B7EF6B"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Così deciso in Prato, il 27 ottobre 2023.</w:t>
      </w:r>
    </w:p>
    <w:p w14:paraId="70689530" w14:textId="77777777" w:rsidR="00163C54" w:rsidRPr="00416F30" w:rsidRDefault="00163C54" w:rsidP="00163C54">
      <w:pPr>
        <w:jc w:val="both"/>
        <w:rPr>
          <w:rFonts w:ascii="Times New Roman" w:hAnsi="Times New Roman" w:cs="Times New Roman"/>
        </w:rPr>
      </w:pPr>
      <w:r w:rsidRPr="00416F30">
        <w:rPr>
          <w:rFonts w:ascii="Times New Roman" w:hAnsi="Times New Roman" w:cs="Times New Roman"/>
        </w:rPr>
        <w:t>Depositata in Cancelleria il 27 ottobre 2023.</w:t>
      </w:r>
    </w:p>
    <w:sectPr w:rsidR="00163C54" w:rsidRPr="00416F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C54"/>
    <w:rsid w:val="00163C54"/>
    <w:rsid w:val="002A732A"/>
    <w:rsid w:val="00416F30"/>
    <w:rsid w:val="00513F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123A"/>
  <w15:chartTrackingRefBased/>
  <w15:docId w15:val="{539FA5F3-5C71-42BD-8940-64AEAB34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wkit-align-center">
    <w:name w:val="wkit-align-center"/>
    <w:basedOn w:val="Normale"/>
    <w:rsid w:val="00163C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kit-indentation-level-0">
    <w:name w:val="wkit-indentation-level-0"/>
    <w:basedOn w:val="Normale"/>
    <w:rsid w:val="00163C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kit-align-right">
    <w:name w:val="wkit-align-right"/>
    <w:basedOn w:val="Normale"/>
    <w:rsid w:val="00163C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63C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65339">
      <w:bodyDiv w:val="1"/>
      <w:marLeft w:val="0"/>
      <w:marRight w:val="0"/>
      <w:marTop w:val="0"/>
      <w:marBottom w:val="0"/>
      <w:divBdr>
        <w:top w:val="none" w:sz="0" w:space="0" w:color="auto"/>
        <w:left w:val="none" w:sz="0" w:space="0" w:color="auto"/>
        <w:bottom w:val="none" w:sz="0" w:space="0" w:color="auto"/>
        <w:right w:val="none" w:sz="0" w:space="0" w:color="auto"/>
      </w:divBdr>
    </w:div>
    <w:div w:id="94785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7444</Words>
  <Characters>42432</Characters>
  <Application>Microsoft Office Word</Application>
  <DocSecurity>0</DocSecurity>
  <Lines>353</Lines>
  <Paragraphs>99</Paragraphs>
  <ScaleCrop>false</ScaleCrop>
  <HeadingPairs>
    <vt:vector size="2" baseType="variant">
      <vt:variant>
        <vt:lpstr>Titolo</vt:lpstr>
      </vt:variant>
      <vt:variant>
        <vt:i4>1</vt:i4>
      </vt:variant>
    </vt:vector>
  </HeadingPairs>
  <TitlesOfParts>
    <vt:vector size="1" baseType="lpstr">
      <vt:lpstr/>
    </vt:vector>
  </TitlesOfParts>
  <Company>Università di Padova - Dipartimento SPGI</Company>
  <LinksUpToDate>false</LinksUpToDate>
  <CharactersWithSpaces>49777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Corso</dc:creator>
  <cp:keywords/>
  <dc:description/>
  <cp:lastModifiedBy>Stefano Rossi</cp:lastModifiedBy>
  <cp:revision>2</cp:revision>
  <dcterms:created xsi:type="dcterms:W3CDTF">2023-11-18T19:08:00Z</dcterms:created>
  <dcterms:modified xsi:type="dcterms:W3CDTF">2023-11-18T19:08:00Z</dcterms:modified>
</cp:coreProperties>
</file>